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w:t>
      </w:r>
      <w:r>
        <w:rPr>
          <w:lang w:val="id_ID" w:bidi="id_ID"/>
        </w:rPr>
      </w:r>
    </w:p>
    <w:p>
      <w:pPr>
        <w:pStyle w:val="ListBullet"/>
        <w:spacing w:line="240" w:lineRule="auto"/>
        <w:ind w:left="720"/>
      </w:pPr>
      <w:r>
        <w:rPr>
          <w:lang w:val="id_ID" w:bidi="id_ID"/>
        </w:rPr>
      </w:r>
      <w:r>
        <w:rPr>
          <w:lang w:val="id_ID" w:bidi="id_ID"/>
        </w:rPr>
        <w:t xml:space="preserve">Nama Xerxes adalah versi Yunani dari Persia </w:t>
      </w:r>
      <w:r>
        <w:rPr>
          <w:i/>
          <w:lang w:val="id_ID" w:bidi="id_ID"/>
        </w:rPr>
        <w:t>Xshayarshan,</w:t>
      </w:r>
      <w:r>
        <w:rPr>
          <w:lang w:val="id_ID" w:bidi="id_ID"/>
        </w:rPr>
        <w:t xml:space="preserve"> yang dalam teks Ibrani disebut </w:t>
      </w:r>
      <w:r>
        <w:rPr>
          <w:i/>
          <w:lang w:val="id_ID" w:bidi="id_ID"/>
        </w:rPr>
        <w:t>’akhashwerosh</w:t>
      </w:r>
      <w:r>
        <w:rPr>
          <w:lang w:val="id_ID" w:bidi="id_ID"/>
        </w:rPr>
        <w:t xml:space="preserve"> (</w:t>
      </w:r>
      <w:r>
        <w:rPr>
          <w:i/>
          <w:lang w:val="id_ID" w:bidi="id_ID"/>
        </w:rPr>
        <w:t>Ahasyweros</w:t>
      </w:r>
      <w:r>
        <w:rPr>
          <w:lang w:val="id_ID" w:bidi="id_ID"/>
        </w:rPr>
        <w:t xml:space="preserve">). Ayahnya, Darius I, yang memerintah dari 521 hingga 486 SM, adalah raja ketika Hagai dan Zakharia mendorong orang-orang Yehuda untuk menyelesaikan pembangunan bait suci di Yerusalem (lihat </w:t>
      </w:r>
      <w:hyperlink r:id="rId13">
        <w:r>
          <w:rPr>
            <w:lang w:val="id_ID" w:bidi="id_ID"/>
          </w:rPr>
          <w:rPr>
            <w:color w:val="0000EE"/>
            <w:u w:val="single"/>
          </w:rPr>
          <w:t>Ezra 4:24–6:22</w:t>
        </w:r>
      </w:hyperlink>
      <w:r>
        <w:rPr>
          <w:lang w:val="id_ID" w:bidi="id_ID"/>
        </w:rPr>
        <w:t xml:space="preserve">; </w:t>
      </w:r>
      <w:hyperlink r:id="rId14">
        <w:r>
          <w:rPr>
            <w:lang w:val="id_ID" w:bidi="id_ID"/>
          </w:rPr>
          <w:rPr>
            <w:color w:val="0000EE"/>
            <w:u w:val="single"/>
          </w:rPr>
          <w:t>Hagai 1:1</w:t>
        </w:r>
      </w:hyperlink>
      <w:r>
        <w:rPr>
          <w:lang w:val="id_ID" w:bidi="id_ID"/>
        </w:rPr>
        <w:t xml:space="preserve">; </w:t>
      </w:r>
      <w:hyperlink r:id="rId15">
        <w:r>
          <w:rPr>
            <w:lang w:val="id_ID" w:bidi="id_ID"/>
          </w:rPr>
          <w:rPr>
            <w:color w:val="0000EE"/>
            <w:u w:val="single"/>
          </w:rPr>
          <w:t>Zakharia 1:1</w:t>
        </w:r>
      </w:hyperlink>
      <w:r>
        <w:rPr>
          <w:lang w:val="id_ID" w:bidi="id_ID"/>
        </w:rPr>
        <w:t>).</w:t>
      </w:r>
    </w:p>
    <w:p>
      <w:pPr>
        <w:pStyle w:val="ListBullet"/>
        <w:spacing w:line="240" w:lineRule="auto"/>
        <w:ind w:left="720"/>
      </w:pPr>
      <w:r>
        <w:rPr>
          <w:lang w:val="id_ID" w:bidi="id_ID"/>
        </w:rPr>
      </w:r>
      <w:r>
        <w:rPr>
          <w:i/>
          <w:lang w:val="id_ID" w:bidi="id_ID"/>
        </w:rPr>
        <w:t>127 daerah</w:t>
      </w:r>
      <w:r>
        <w:rPr>
          <w:lang w:val="id_ID" w:bidi="id_ID"/>
        </w:rPr>
        <w:t>: Ahasyweros memerintah suatu wilayah kekaisaran yang luas, mulai dari India hingga Etiopia.</w:t>
      </w:r>
      <w:r>
        <w:rPr>
          <w:lang w:val="id_ID" w:bidi="id_ID"/>
        </w:rPr>
      </w:r>
      <w:r>
        <w:rPr>
          <w:lang w:val="id_ID" w:bidi="id_ID"/>
        </w:rPr>
      </w:r>
    </w:p>
    <w:p>
      <w:pPr/>
      <w:r>
        <w:rPr>
          <w:lang w:val="id_ID" w:bidi="id_ID"/>
        </w:rPr>
      </w:r>
    </w:p>
    <w:p>
      <w:pPr>
        <w:pStyle w:val="Heading2"/>
      </w:pPr>
      <w:r>
        <w:rPr>
          <w:lang w:val="id_ID" w:bidi="id_ID"/>
        </w:rPr>
        <w:t>Ester 1:2</w:t>
      </w:r>
      <w:r>
        <w:rPr>
          <w:lang w:val="id_ID" w:bidi="id_ID"/>
        </w:rPr>
      </w:r>
    </w:p>
    <w:p>
      <w:pPr/>
      <w:r>
        <w:rPr>
          <w:lang w:val="id_ID" w:bidi="id_ID"/>
        </w:rPr>
      </w:r>
      <w:r>
        <w:rPr>
          <w:lang w:val="id_ID" w:bidi="id_ID"/>
        </w:rPr>
        <w:t>Benteng Susan berfungsi sebagai ibu kota kediaman raja selama bulan-bulan musim dingin.</w:t>
      </w:r>
      <w:r>
        <w:rPr>
          <w:lang w:val="id_ID" w:bidi="id_ID"/>
        </w:rPr>
      </w:r>
      <w:r>
        <w:rPr>
          <w:lang w:val="id_ID" w:bidi="id_ID"/>
        </w:rPr>
      </w:r>
    </w:p>
    <w:p>
      <w:pPr/>
      <w:r>
        <w:rPr>
          <w:lang w:val="id_ID" w:bidi="id_ID"/>
        </w:rPr>
      </w:r>
    </w:p>
    <w:p>
      <w:pPr>
        <w:pStyle w:val="Heading2"/>
      </w:pPr>
      <w:r>
        <w:rPr>
          <w:lang w:val="id_ID" w:bidi="id_ID"/>
        </w:rPr>
        <w:t>Ester 1:4</w:t>
      </w:r>
      <w:r>
        <w:rPr>
          <w:lang w:val="id_ID" w:bidi="id_ID"/>
        </w:rPr>
      </w:r>
    </w:p>
    <w:p>
      <w:pPr>
        <w:pStyle w:val="ListBullet"/>
        <w:spacing w:line="240" w:lineRule="auto"/>
        <w:ind w:left="720"/>
      </w:pPr>
      <w:r>
        <w:rPr>
          <w:lang w:val="id_ID" w:bidi="id_ID"/>
        </w:rPr>
      </w:r>
      <w:r>
        <w:rPr>
          <w:i/>
          <w:lang w:val="id_ID" w:bidi="id_ID"/>
        </w:rPr>
        <w:t>sampai seratus delapan puluh hari</w:t>
      </w:r>
      <w:r>
        <w:rPr>
          <w:lang w:val="id_ID" w:bidi="id_ID"/>
        </w:rPr>
        <w:t>: Para pejabat kemungkinan akan bergantian menghadiri berbagai acara selama periode enam bulan ini. Hal ini memungkinkan mereka untuk mempertahankan militer dan infrastruktur negara.</w:t>
      </w:r>
    </w:p>
    <w:p>
      <w:pPr>
        <w:pStyle w:val="ListBullet"/>
        <w:spacing w:line="240" w:lineRule="auto"/>
        <w:ind w:left="720"/>
      </w:pPr>
      <w:r>
        <w:rPr>
          <w:lang w:val="id_ID" w:bidi="id_ID"/>
        </w:rPr>
      </w:r>
      <w:r>
        <w:rPr>
          <w:lang w:val="id_ID" w:bidi="id_ID"/>
        </w:rPr>
        <w:t>Pertunjukan yang megah ini bertujuan untuk membuat orang lain terkesan dengan keagungan raja. Ini juga menunjukkan kesombongan Xerxes.</w:t>
      </w:r>
      <w:r>
        <w:rPr>
          <w:lang w:val="id_ID" w:bidi="id_ID"/>
        </w:rPr>
      </w:r>
      <w:r>
        <w:rPr>
          <w:lang w:val="id_ID" w:bidi="id_ID"/>
        </w:rPr>
      </w:r>
    </w:p>
    <w:p>
      <w:pPr/>
      <w:r>
        <w:rPr>
          <w:lang w:val="id_ID" w:bidi="id_ID"/>
        </w:rPr>
      </w:r>
    </w:p>
    <w:p>
      <w:pPr>
        <w:pStyle w:val="Heading2"/>
      </w:pPr>
      <w:r>
        <w:rPr>
          <w:lang w:val="id_ID" w:bidi="id_ID"/>
        </w:rPr>
        <w:t>Ester 1:5</w:t>
      </w:r>
      <w:r>
        <w:rPr>
          <w:lang w:val="id_ID" w:bidi="id_ID"/>
        </w:rPr>
      </w:r>
    </w:p>
    <w:p>
      <w:pPr/>
      <w:r>
        <w:rPr>
          <w:lang w:val="id_ID" w:bidi="id_ID"/>
        </w:rPr>
      </w:r>
      <w:r>
        <w:rPr>
          <w:lang w:val="id_ID" w:bidi="id_ID"/>
        </w:rPr>
        <w:t>Jamuan kedua yang lebih singkat ini memungkinkan orang-orang dari berbagai lapisan sosial, mulai dari yang tertinggi hingga yang terendah, untuk menyaksikan besarnya kekayaan sang raja. Karena kerumunan yang besar, acara pesta ini diadakan di luar, di halaman berlapis batu di taman istana.</w:t>
      </w:r>
      <w:r>
        <w:rPr>
          <w:lang w:val="id_ID" w:bidi="id_ID"/>
        </w:rPr>
      </w:r>
      <w:r>
        <w:rPr>
          <w:lang w:val="id_ID" w:bidi="id_ID"/>
        </w:rPr>
      </w:r>
    </w:p>
    <w:p>
      <w:pPr/>
      <w:r>
        <w:rPr>
          <w:lang w:val="id_ID" w:bidi="id_ID"/>
        </w:rPr>
      </w:r>
    </w:p>
    <w:p>
      <w:pPr>
        <w:pStyle w:val="Heading2"/>
      </w:pPr>
      <w:r>
        <w:rPr>
          <w:lang w:val="id_ID" w:bidi="id_ID"/>
        </w:rPr>
        <w:t>Ester 1:6</w:t>
      </w:r>
      <w:r>
        <w:rPr>
          <w:lang w:val="id_ID" w:bidi="id_ID"/>
        </w:rPr>
      </w:r>
    </w:p>
    <w:p>
      <w:pPr/>
      <w:r>
        <w:rPr>
          <w:lang w:val="id_ID" w:bidi="id_ID"/>
        </w:rPr>
      </w:r>
      <w:r>
        <w:rPr>
          <w:lang w:val="id_ID" w:bidi="id_ID"/>
        </w:rPr>
        <w:t xml:space="preserve">Putih dan biru (atau </w:t>
      </w:r>
      <w:r>
        <w:rPr>
          <w:i/>
          <w:lang w:val="id_ID" w:bidi="id_ID"/>
        </w:rPr>
        <w:t>ungu</w:t>
      </w:r>
      <w:r>
        <w:rPr>
          <w:lang w:val="id_ID" w:bidi="id_ID"/>
        </w:rPr>
        <w:t>) adalah warna-warna kerajaan. Lantai mosaiknya juga memiliki detail yang kaya.</w:t>
      </w:r>
      <w:r>
        <w:rPr>
          <w:lang w:val="id_ID" w:bidi="id_ID"/>
        </w:rPr>
      </w:r>
      <w:r>
        <w:rPr>
          <w:lang w:val="id_ID" w:bidi="id_ID"/>
        </w:rPr>
      </w:r>
    </w:p>
    <w:p>
      <w:pPr/>
      <w:r>
        <w:rPr>
          <w:lang w:val="id_ID" w:bidi="id_ID"/>
        </w:rPr>
      </w:r>
    </w:p>
    <w:p>
      <w:pPr>
        <w:pStyle w:val="Heading2"/>
      </w:pPr>
      <w:r>
        <w:rPr>
          <w:lang w:val="id_ID" w:bidi="id_ID"/>
        </w:rPr>
        <w:t>Ester 1:8</w:t>
      </w:r>
      <w:r>
        <w:rPr>
          <w:lang w:val="id_ID" w:bidi="id_ID"/>
        </w:rPr>
      </w:r>
    </w:p>
    <w:p>
      <w:pPr/>
      <w:r>
        <w:rPr>
          <w:lang w:val="id_ID" w:bidi="id_ID"/>
        </w:rPr>
      </w:r>
      <w:r>
        <w:rPr>
          <w:i/>
          <w:lang w:val="id_ID" w:bidi="id_ID"/>
        </w:rPr>
        <w:t>aturan minum ialah: tiada dengan paksa</w:t>
      </w:r>
      <w:r>
        <w:rPr>
          <w:lang w:val="id_ID" w:bidi="id_ID"/>
        </w:rPr>
        <w:t xml:space="preserve">: Seringkali, tamu hanya akan minum ketika raja Persia menawarkan bersulang (lihat Xenophon, </w:t>
      </w:r>
      <w:r>
        <w:rPr>
          <w:i/>
          <w:lang w:val="id_ID" w:bidi="id_ID"/>
        </w:rPr>
        <w:t>Cyropaedia</w:t>
      </w:r>
      <w:r>
        <w:rPr>
          <w:lang w:val="id_ID" w:bidi="id_ID"/>
        </w:rPr>
        <w:t xml:space="preserve"> 8.8.18). Namun, dalam perjamuan ini, para tamu dapat minum dengan bebas.</w:t>
      </w:r>
      <w:r>
        <w:rPr>
          <w:lang w:val="id_ID" w:bidi="id_ID"/>
        </w:rPr>
      </w:r>
      <w:r>
        <w:rPr>
          <w:lang w:val="id_ID" w:bidi="id_ID"/>
        </w:rPr>
      </w:r>
    </w:p>
    <w:p>
      <w:pPr/>
      <w:r>
        <w:rPr>
          <w:lang w:val="id_ID" w:bidi="id_ID"/>
        </w:rPr>
      </w:r>
    </w:p>
    <w:p>
      <w:pPr>
        <w:pStyle w:val="Heading2"/>
      </w:pPr>
      <w:r>
        <w:rPr>
          <w:lang w:val="id_ID" w:bidi="id_ID"/>
        </w:rPr>
        <w:t>Ester 1:9</w:t>
      </w:r>
      <w:r>
        <w:rPr>
          <w:lang w:val="id_ID" w:bidi="id_ID"/>
        </w:rPr>
      </w:r>
    </w:p>
    <w:p>
      <w:pPr/>
      <w:r>
        <w:rPr>
          <w:lang w:val="id_ID" w:bidi="id_ID"/>
        </w:rPr>
      </w:r>
      <w:r>
        <w:rPr>
          <w:lang w:val="id_ID" w:bidi="id_ID"/>
        </w:rPr>
        <w:t xml:space="preserve">Karena kata 'Wasti' berarti </w:t>
      </w:r>
      <w:r>
        <w:rPr>
          <w:i/>
          <w:lang w:val="id_ID" w:bidi="id_ID"/>
        </w:rPr>
        <w:t>yang terbaik, yang diinginkan, yang tercinta,</w:t>
      </w:r>
      <w:r>
        <w:rPr>
          <w:lang w:val="id_ID" w:bidi="id_ID"/>
        </w:rPr>
        <w:t xml:space="preserve"> kemungkinan besar itu adalah gelar untuk istri yang disukai, bukan nama aslinya. Sejarawan Yunani kuno menyebutnya </w:t>
      </w:r>
      <w:r>
        <w:rPr>
          <w:i/>
          <w:lang w:val="id_ID" w:bidi="id_ID"/>
        </w:rPr>
        <w:t>Amestris</w:t>
      </w:r>
      <w:r>
        <w:rPr>
          <w:lang w:val="id_ID" w:bidi="id_ID"/>
        </w:rPr>
        <w:t xml:space="preserve"> (misalnya, Herodotus, </w:t>
      </w:r>
      <w:r>
        <w:rPr>
          <w:i/>
          <w:lang w:val="id_ID" w:bidi="id_ID"/>
        </w:rPr>
        <w:t>Histories</w:t>
      </w:r>
      <w:r>
        <w:rPr>
          <w:lang w:val="id_ID" w:bidi="id_ID"/>
        </w:rPr>
        <w:t xml:space="preserve"> 7.114). Putranya, Artahsasta I, menjadi raja Persia dan memerintah dari tahun 465 hingga tahun 424 SM, setelah Ahasyweros wafat (lihat </w:t>
      </w:r>
      <w:hyperlink r:id="rId16">
        <w:r>
          <w:rPr>
            <w:lang w:val="id_ID" w:bidi="id_ID"/>
          </w:rPr>
          <w:rPr>
            <w:color w:val="0000EE"/>
            <w:u w:val="single"/>
          </w:rPr>
          <w:t>Ezra 4:7–23</w:t>
        </w:r>
      </w:hyperlink>
      <w:r>
        <w:rPr>
          <w:lang w:val="id_ID" w:bidi="id_ID"/>
        </w:rPr>
        <w:t xml:space="preserve">; </w:t>
      </w:r>
      <w:hyperlink r:id="rId17">
        <w:r>
          <w:rPr>
            <w:lang w:val="id_ID" w:bidi="id_ID"/>
          </w:rPr>
          <w:rPr>
            <w:color w:val="0000EE"/>
            <w:u w:val="single"/>
          </w:rPr>
          <w:t>6:14</w:t>
        </w:r>
      </w:hyperlink>
      <w:r>
        <w:rPr>
          <w:lang w:val="id_ID" w:bidi="id_ID"/>
        </w:rPr>
        <w:t xml:space="preserve">; </w:t>
      </w:r>
      <w:hyperlink r:id="rId18">
        <w:r>
          <w:rPr>
            <w:lang w:val="id_ID" w:bidi="id_ID"/>
          </w:rPr>
          <w:rPr>
            <w:color w:val="0000EE"/>
            <w:u w:val="single"/>
          </w:rPr>
          <w:t>7:1</w:t>
        </w:r>
      </w:hyperlink>
      <w:r>
        <w:rPr>
          <w:lang w:val="id_ID" w:bidi="id_ID"/>
        </w:rPr>
        <w:t xml:space="preserve">, </w:t>
      </w:r>
      <w:hyperlink r:id="rId19">
        <w:r>
          <w:rPr>
            <w:lang w:val="id_ID" w:bidi="id_ID"/>
          </w:rPr>
          <w:rPr>
            <w:color w:val="0000EE"/>
            <w:u w:val="single"/>
          </w:rPr>
          <w:t>7</w:t>
        </w:r>
      </w:hyperlink>
      <w:r>
        <w:rPr>
          <w:lang w:val="id_ID" w:bidi="id_ID"/>
        </w:rPr>
        <w:t xml:space="preserve">, </w:t>
      </w:r>
      <w:hyperlink r:id="rId20">
        <w:r>
          <w:rPr>
            <w:lang w:val="id_ID" w:bidi="id_ID"/>
          </w:rPr>
          <w:rPr>
            <w:color w:val="0000EE"/>
            <w:u w:val="single"/>
          </w:rPr>
          <w:t>11–26</w:t>
        </w:r>
      </w:hyperlink>
      <w:r>
        <w:rPr>
          <w:lang w:val="id_ID" w:bidi="id_ID"/>
        </w:rPr>
        <w:t xml:space="preserve">; </w:t>
      </w:r>
      <w:hyperlink r:id="rId21">
        <w:r>
          <w:rPr>
            <w:lang w:val="id_ID" w:bidi="id_ID"/>
          </w:rPr>
          <w:rPr>
            <w:color w:val="0000EE"/>
            <w:u w:val="single"/>
          </w:rPr>
          <w:t>8:1</w:t>
        </w:r>
      </w:hyperlink>
      <w:r>
        <w:rPr>
          <w:lang w:val="id_ID" w:bidi="id_ID"/>
        </w:rPr>
        <w:t xml:space="preserve">; </w:t>
      </w:r>
      <w:hyperlink r:id="rId22">
        <w:r>
          <w:rPr>
            <w:lang w:val="id_ID" w:bidi="id_ID"/>
          </w:rPr>
          <w:rPr>
            <w:color w:val="0000EE"/>
            <w:u w:val="single"/>
          </w:rPr>
          <w:t>Nehemia 1:1</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5:14</w:t>
        </w:r>
      </w:hyperlink>
      <w:r>
        <w:rPr>
          <w:lang w:val="id_ID" w:bidi="id_ID"/>
        </w:rPr>
        <w:t xml:space="preserve">; </w:t>
      </w:r>
      <w:hyperlink r:id="rId25">
        <w:r>
          <w:rPr>
            <w:lang w:val="id_ID" w:bidi="id_ID"/>
          </w:rPr>
          <w:rPr>
            <w:color w:val="0000EE"/>
            <w:u w:val="single"/>
          </w:rPr>
          <w:t>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1:10</w:t>
      </w:r>
      <w:r>
        <w:rPr>
          <w:lang w:val="id_ID" w:bidi="id_ID"/>
        </w:rPr>
      </w:r>
    </w:p>
    <w:p>
      <w:pPr>
        <w:pStyle w:val="ListBullet"/>
        <w:spacing w:line="240" w:lineRule="auto"/>
        <w:ind w:left="720"/>
      </w:pPr>
      <w:r>
        <w:rPr>
          <w:lang w:val="id_ID" w:bidi="id_ID"/>
        </w:rPr>
      </w:r>
      <w:r>
        <w:rPr>
          <w:i/>
          <w:lang w:val="id_ID" w:bidi="id_ID"/>
        </w:rPr>
        <w:t>ketika raja riang gembira hatinya karena minum anggur</w:t>
      </w:r>
      <w:r>
        <w:rPr>
          <w:lang w:val="id_ID" w:bidi="id_ID"/>
        </w:rPr>
        <w:t>: Ia mungkin sudah cukup mabuk dan bisa melakukan sesuatu yang tidak bijaksana.</w:t>
      </w:r>
    </w:p>
    <w:p>
      <w:pPr>
        <w:pStyle w:val="ListBullet"/>
        <w:spacing w:line="240" w:lineRule="auto"/>
        <w:ind w:left="720"/>
      </w:pPr>
      <w:r>
        <w:rPr>
          <w:lang w:val="id_ID" w:bidi="id_ID"/>
        </w:rPr>
      </w:r>
      <w:r>
        <w:rPr>
          <w:lang w:val="id_ID" w:bidi="id_ID"/>
        </w:rPr>
        <w:t>Sida-sida adalah pelayan yang telah dikebiri. Pekerjaan mereka sering melibatkan interaksi dengan wanita-wanita di istana para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