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el fuego suele representar la ira de Dios contra el pecado y su juicio destructivo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pStyle w:val="ListBullet"/>
        <w:spacing w:line="240" w:lineRule="auto"/>
        <w:ind w:left="720"/>
      </w:pPr>
      <w:r>
        <w:rPr>
          <w:lang w:val="es_ES" w:bidi="es_ES"/>
        </w:rPr>
      </w:r>
      <w:r>
        <w:rPr>
          <w:lang w:val="es_ES" w:bidi="es_ES"/>
        </w:rPr>
        <w:t>Un Miktam: Puede tratarse de un término literario o musical.</w:t>
      </w:r>
    </w:p>
    <w:p>
      <w:pPr>
        <w:pStyle w:val="ListBullet"/>
        <w:spacing w:line="240" w:lineRule="auto"/>
        <w:ind w:left="720"/>
      </w:pPr>
      <w:r>
        <w:rPr>
          <w:lang w:val="es_ES" w:bidi="es_ES"/>
        </w:rPr>
      </w:r>
      <w:r>
        <w:rPr>
          <w:lang w:val="es_ES" w:bidi="es_ES"/>
        </w:rPr>
        <w:t>Los filisteos, recelosos de la lealtad de David, lo capturaron y lo llevaron ante el rey Aquis (1 Samuel 21:10–15).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pStyle w:val="ListBullet"/>
        <w:spacing w:line="240" w:lineRule="auto"/>
        <w:ind w:left="720"/>
      </w:pPr>
      <w:r>
        <w:rPr>
          <w:lang w:val="es_ES" w:bidi="es_ES"/>
        </w:rPr>
      </w:r>
      <w:r>
        <w:rPr>
          <w:lang w:val="es_ES" w:bidi="es_ES"/>
        </w:rPr>
        <w:t>Un maskil: Puede tratarse de un término literario o musical.</w:t>
      </w:r>
    </w:p>
    <w:p>
      <w:pPr>
        <w:pStyle w:val="ListBullet"/>
        <w:spacing w:line="240" w:lineRule="auto"/>
        <w:ind w:left="720"/>
      </w:pPr>
      <w:r>
        <w:rPr>
          <w:lang w:val="es_ES" w:bidi="es_ES"/>
        </w:rPr>
      </w:r>
      <w:r>
        <w:rPr>
          <w:lang w:val="es_ES" w:bidi="es_ES"/>
        </w:rPr>
        <w:t>Heman el ezraíta: Heman podría ser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