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4">
        <w:r>
          <w:rPr>
            <w:lang w:val="fr_FR" w:bidi="fr_FR"/>
          </w:rPr>
          <w:rPr>
            <w:color w:val="0000EE"/>
            <w:u w:val="single"/>
          </w:rPr>
          <w:t>1R 4.31</w:t>
        </w:r>
      </w:hyperlink>
      <w:r>
        <w:rPr>
          <w:lang w:val="fr_FR" w:bidi="fr_FR"/>
        </w:rPr>
        <w:t>), d'un descendant de Juda (</w:t>
      </w:r>
      <w:hyperlink r:id="rId1625">
        <w:r>
          <w:rPr>
            <w:lang w:val="fr_FR" w:bidi="fr_FR"/>
          </w:rPr>
          <w:rPr>
            <w:color w:val="0000EE"/>
            <w:u w:val="single"/>
          </w:rPr>
          <w:t>1Ch 2.6</w:t>
        </w:r>
      </w:hyperlink>
      <w:r>
        <w:rPr>
          <w:lang w:val="fr_FR" w:bidi="fr_FR"/>
        </w:rPr>
        <w:t>), ou d'un membre de la famille lévitique chargé de chanter au Temple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4">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Kgs4:31" TargetMode="External"/><Relationship Id="rId1625" Type="http://schemas.openxmlformats.org/officeDocument/2006/relationships/hyperlink" Target="https://ref.ly/1Chr2:6"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