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1.1, Ageu 1.1–15, Ageu 1.2, Ageu 1.4, Ageu 1.5, Ageu 1.6, Ageu 1.8, Ageu 1.9, Ageu 1.11, Ageu 1.12, Ageu 1.13, Ageu 1.14, Ageu 2.1, Ageu 2.1–9, Ageu 2.3, Ageu 2.4, Ageu 2.5, Ageu 2.6–7, Ageu 2.7, Ageu 2.9, Ageu 2.10–19, Ageu 2.11, Ageu 2.12, Ageu 2.13, Ageu 2.14, Ageu 2.15, Ageu 2.17, Ageu 2.18, Ageu 2.19, Ageu 2.20–23, Ageu 2.21, Ageu 2.22, Ageu 2.23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5">
        <w:r>
          <w:rPr>
            <w:lang w:val="pt_PT" w:bidi="pt_PT"/>
          </w:rPr>
          <w:rPr>
            <w:color w:val="0000EE"/>
            <w:u w:val="single"/>
          </w:rPr>
          <w:t>Ed 2.1–2</w:t>
        </w:r>
      </w:hyperlink>
      <w:r>
        <w:rPr>
          <w:lang w:val="pt_PT" w:bidi="pt_PT"/>
        </w:rPr>
        <w:t xml:space="preserve">; </w:t>
      </w:r>
      <w:hyperlink r:id="rId16">
        <w:r>
          <w:rPr>
            <w:lang w:val="pt_PT" w:bidi="pt_PT"/>
          </w:rPr>
          <w:rPr>
            <w:color w:val="0000EE"/>
            <w:u w:val="single"/>
          </w:rPr>
          <w:t>3.2</w:t>
        </w:r>
      </w:hyperlink>
      <w:r>
        <w:rPr>
          <w:lang w:val="pt_PT" w:bidi="pt_PT"/>
        </w:rPr>
        <w:t xml:space="preserve">; </w:t>
      </w:r>
      <w:hyperlink r:id="rId17">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6">
        <w:r>
          <w:rPr>
            <w:lang w:val="pt_PT" w:bidi="pt_PT"/>
          </w:rPr>
          <w:rPr>
            <w:color w:val="0000EE"/>
            <w:u w:val="single"/>
          </w:rPr>
          <w:t>Ed 3.2</w:t>
        </w:r>
      </w:hyperlink>
      <w:r>
        <w:rPr>
          <w:lang w:val="pt_PT" w:bidi="pt_PT"/>
        </w:rPr>
        <w:t xml:space="preserve">; </w:t>
      </w:r>
      <w:hyperlink r:id="rId18">
        <w:r>
          <w:rPr>
            <w:lang w:val="pt_PT" w:bidi="pt_PT"/>
          </w:rPr>
          <w:rPr>
            <w:color w:val="0000EE"/>
            <w:u w:val="single"/>
          </w:rPr>
          <w:t>5.2</w:t>
        </w:r>
      </w:hyperlink>
      <w:r>
        <w:rPr>
          <w:lang w:val="pt_PT" w:bidi="pt_PT"/>
        </w:rPr>
        <w:t xml:space="preserve">; </w:t>
      </w:r>
      <w:hyperlink r:id="rId19">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20">
        <w:r>
          <w:rPr>
            <w:lang w:val="pt_PT" w:bidi="pt_PT"/>
          </w:rPr>
          <w:rPr>
            <w:color w:val="0000EE"/>
            <w:u w:val="single"/>
          </w:rPr>
          <w:t>2Rs 6.17</w:t>
        </w:r>
      </w:hyperlink>
      <w:r>
        <w:rPr>
          <w:lang w:val="pt_PT" w:bidi="pt_PT"/>
        </w:rPr>
        <w:t xml:space="preserve">; </w:t>
      </w:r>
      <w:hyperlink r:id="rId21">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2">
        <w:r>
          <w:rPr>
            <w:lang w:val="pt_PT" w:bidi="pt_PT"/>
          </w:rPr>
          <w:rPr>
            <w:color w:val="0000EE"/>
            <w:u w:val="single"/>
          </w:rPr>
          <w:t>Ag 1.6</w:t>
        </w:r>
      </w:hyperlink>
      <w:r>
        <w:rPr>
          <w:lang w:val="pt_PT" w:bidi="pt_PT"/>
        </w:rPr>
        <w:t xml:space="preserve">, </w:t>
      </w:r>
      <w:hyperlink r:id="rId23">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4">
        <w:r>
          <w:rPr>
            <w:lang w:val="pt_PT" w:bidi="pt_PT"/>
          </w:rPr>
          <w:rPr>
            <w:color w:val="0000EE"/>
            <w:u w:val="single"/>
          </w:rPr>
          <w:t>1.4</w:t>
        </w:r>
      </w:hyperlink>
      <w:r>
        <w:rPr>
          <w:lang w:val="pt_PT" w:bidi="pt_PT"/>
        </w:rPr>
        <w:t xml:space="preserve">, </w:t>
      </w:r>
      <w:hyperlink r:id="rId25">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6">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7">
        <w:r>
          <w:rPr>
            <w:lang w:val="pt_PT" w:bidi="pt_PT"/>
          </w:rPr>
          <w:rPr>
            <w:color w:val="0000EE"/>
            <w:u w:val="single"/>
          </w:rPr>
          <w:t>1.7</w:t>
        </w:r>
      </w:hyperlink>
      <w:r>
        <w:rPr>
          <w:lang w:val="pt_PT" w:bidi="pt_PT"/>
        </w:rPr>
        <w:t xml:space="preserve">; </w:t>
      </w:r>
      <w:hyperlink r:id="rId28">
        <w:r>
          <w:rPr>
            <w:lang w:val="pt_PT" w:bidi="pt_PT"/>
          </w:rPr>
          <w:rPr>
            <w:color w:val="0000EE"/>
            <w:u w:val="single"/>
          </w:rPr>
          <w:t>2.15</w:t>
        </w:r>
      </w:hyperlink>
      <w:r>
        <w:rPr>
          <w:lang w:val="pt_PT" w:bidi="pt_PT"/>
        </w:rPr>
        <w:t xml:space="preserve">, </w:t>
      </w:r>
      <w:hyperlink r:id="rId29">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2">
        <w:r>
          <w:rPr>
            <w:lang w:val="pt_PT" w:bidi="pt_PT"/>
          </w:rPr>
          <w:rPr>
            <w:color w:val="0000EE"/>
            <w:u w:val="single"/>
          </w:rPr>
          <w:t>1.6</w:t>
        </w:r>
      </w:hyperlink>
      <w:r>
        <w:rPr>
          <w:lang w:val="pt_PT" w:bidi="pt_PT"/>
        </w:rPr>
        <w:t>) e sua falha em restaurar a adoração adequada ao Senhor (</w:t>
      </w:r>
      <w:hyperlink r:id="rId30">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3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2">
        <w:r>
          <w:rPr>
            <w:lang w:val="pt_PT" w:bidi="pt_PT"/>
          </w:rPr>
          <w:rPr>
            <w:color w:val="0000EE"/>
            <w:u w:val="single"/>
          </w:rPr>
          <w:t>1.13</w:t>
        </w:r>
      </w:hyperlink>
      <w:r>
        <w:rPr>
          <w:lang w:val="pt_PT" w:bidi="pt_PT"/>
        </w:rPr>
        <w:t xml:space="preserve">; </w:t>
      </w:r>
      <w:hyperlink r:id="rId33">
        <w:r>
          <w:rPr>
            <w:lang w:val="pt_PT" w:bidi="pt_PT"/>
          </w:rPr>
          <w:rPr>
            <w:color w:val="0000EE"/>
            <w:u w:val="single"/>
          </w:rPr>
          <w:t>2.8</w:t>
        </w:r>
      </w:hyperlink>
      <w:r>
        <w:rPr>
          <w:lang w:val="pt_PT" w:bidi="pt_PT"/>
        </w:rPr>
        <w:t xml:space="preserve">, </w:t>
      </w:r>
      <w:hyperlink r:id="rId34">
        <w:r>
          <w:rPr>
            <w:lang w:val="pt_PT" w:bidi="pt_PT"/>
          </w:rPr>
          <w:rPr>
            <w:color w:val="0000EE"/>
            <w:u w:val="single"/>
          </w:rPr>
          <w:t>17</w:t>
        </w:r>
      </w:hyperlink>
      <w:r>
        <w:rPr>
          <w:lang w:val="pt_PT" w:bidi="pt_PT"/>
        </w:rPr>
        <w:t xml:space="preserve">, </w:t>
      </w:r>
      <w:hyperlink r:id="rId35">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6">
        <w:r>
          <w:rPr>
            <w:lang w:val="pt_PT" w:bidi="pt_PT"/>
          </w:rPr>
          <w:rPr>
            <w:color w:val="0000EE"/>
            <w:u w:val="single"/>
          </w:rPr>
          <w:t>Dt 28.15–68</w:t>
        </w:r>
      </w:hyperlink>
      <w:r>
        <w:rPr>
          <w:lang w:val="pt_PT" w:bidi="pt_PT"/>
        </w:rPr>
        <w:t xml:space="preserve">, especialmente vv. </w:t>
      </w:r>
      <w:hyperlink r:id="rId37">
        <w:r>
          <w:rPr>
            <w:lang w:val="pt_PT" w:bidi="pt_PT"/>
          </w:rPr>
          <w:rPr>
            <w:color w:val="0000EE"/>
            <w:u w:val="single"/>
          </w:rPr>
          <w:t>22–24</w:t>
        </w:r>
      </w:hyperlink>
      <w:r>
        <w:rPr>
          <w:lang w:val="pt_PT" w:bidi="pt_PT"/>
        </w:rPr>
        <w:t xml:space="preserve">, </w:t>
      </w:r>
      <w:hyperlink r:id="rId38">
        <w:r>
          <w:rPr>
            <w:lang w:val="pt_PT" w:bidi="pt_PT"/>
          </w:rPr>
          <w:rPr>
            <w:color w:val="0000EE"/>
            <w:u w:val="single"/>
          </w:rPr>
          <w:t>38–40</w:t>
        </w:r>
      </w:hyperlink>
      <w:r>
        <w:rPr>
          <w:lang w:val="pt_PT" w:bidi="pt_PT"/>
        </w:rPr>
        <w:t>). • Seca (hebraico khoreb) é um trocadilho com "ruínas" (</w:t>
      </w:r>
      <w:hyperlink r:id="rId24">
        <w:r>
          <w:rPr>
            <w:lang w:val="pt_PT" w:bidi="pt_PT"/>
          </w:rPr>
          <w:rPr>
            <w:color w:val="0000EE"/>
            <w:u w:val="single"/>
          </w:rPr>
          <w:t>Ag 1.4</w:t>
        </w:r>
      </w:hyperlink>
      <w:r>
        <w:rPr>
          <w:lang w:val="pt_PT" w:bidi="pt_PT"/>
        </w:rPr>
        <w:t xml:space="preserve">, </w:t>
      </w:r>
      <w:hyperlink r:id="rId39">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40">
        <w:r>
          <w:rPr>
            <w:lang w:val="pt_PT" w:bidi="pt_PT"/>
          </w:rPr>
          <w:rPr>
            <w:color w:val="0000EE"/>
            <w:u w:val="single"/>
          </w:rPr>
          <w:t>2.4–5</w:t>
        </w:r>
      </w:hyperlink>
      <w:r>
        <w:rPr>
          <w:lang w:val="pt_PT" w:bidi="pt_PT"/>
        </w:rPr>
        <w:t xml:space="preserve">; veja </w:t>
      </w:r>
      <w:hyperlink r:id="rId41">
        <w:r>
          <w:rPr>
            <w:lang w:val="pt_PT" w:bidi="pt_PT"/>
          </w:rPr>
          <w:rPr>
            <w:color w:val="0000EE"/>
            <w:u w:val="single"/>
          </w:rPr>
          <w:t>Gn 26.3</w:t>
        </w:r>
      </w:hyperlink>
      <w:r>
        <w:rPr>
          <w:lang w:val="pt_PT" w:bidi="pt_PT"/>
        </w:rPr>
        <w:t xml:space="preserve">; </w:t>
      </w:r>
      <w:hyperlink r:id="rId42">
        <w:r>
          <w:rPr>
            <w:lang w:val="pt_PT" w:bidi="pt_PT"/>
          </w:rPr>
          <w:rPr>
            <w:color w:val="0000EE"/>
            <w:u w:val="single"/>
          </w:rPr>
          <w:t>Êx 3.12</w:t>
        </w:r>
      </w:hyperlink>
      <w:r>
        <w:rPr>
          <w:lang w:val="pt_PT" w:bidi="pt_PT"/>
        </w:rPr>
        <w:t xml:space="preserve">; </w:t>
      </w:r>
      <w:hyperlink r:id="rId43">
        <w:r>
          <w:rPr>
            <w:lang w:val="pt_PT" w:bidi="pt_PT"/>
          </w:rPr>
          <w:rPr>
            <w:color w:val="0000EE"/>
            <w:u w:val="single"/>
          </w:rPr>
          <w:t>Is 41.10</w:t>
        </w:r>
      </w:hyperlink>
      <w:r>
        <w:rPr>
          <w:lang w:val="pt_PT" w:bidi="pt_PT"/>
        </w:rPr>
        <w:t xml:space="preserve">; </w:t>
      </w:r>
      <w:hyperlink r:id="rId44">
        <w:r>
          <w:rPr>
            <w:lang w:val="pt_PT" w:bidi="pt_PT"/>
          </w:rPr>
          <w:rPr>
            <w:color w:val="0000EE"/>
            <w:u w:val="single"/>
          </w:rPr>
          <w:t>43.5</w:t>
        </w:r>
      </w:hyperlink>
      <w:r>
        <w:rPr>
          <w:lang w:val="pt_PT" w:bidi="pt_PT"/>
        </w:rPr>
        <w:t xml:space="preserve">; </w:t>
      </w:r>
      <w:hyperlink r:id="rId45">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6">
        <w:r>
          <w:rPr>
            <w:lang w:val="pt_PT" w:bidi="pt_PT"/>
          </w:rPr>
          <w:rPr>
            <w:color w:val="0000EE"/>
            <w:u w:val="single"/>
          </w:rPr>
          <w:t>Ed 1.1</w:t>
        </w:r>
      </w:hyperlink>
      <w:r>
        <w:rPr>
          <w:lang w:val="pt_PT" w:bidi="pt_PT"/>
        </w:rPr>
        <w:t xml:space="preserve">; </w:t>
      </w:r>
      <w:hyperlink r:id="rId47">
        <w:r>
          <w:rPr>
            <w:lang w:val="pt_PT" w:bidi="pt_PT"/>
          </w:rPr>
          <w:rPr>
            <w:color w:val="0000EE"/>
            <w:u w:val="single"/>
          </w:rPr>
          <w:t>Is 13.17</w:t>
        </w:r>
      </w:hyperlink>
      <w:r>
        <w:rPr>
          <w:lang w:val="pt_PT" w:bidi="pt_PT"/>
        </w:rPr>
        <w:t xml:space="preserve">; </w:t>
      </w:r>
      <w:hyperlink r:id="rId48">
        <w:r>
          <w:rPr>
            <w:lang w:val="pt_PT" w:bidi="pt_PT"/>
          </w:rPr>
          <w:rPr>
            <w:color w:val="0000EE"/>
            <w:u w:val="single"/>
          </w:rPr>
          <w:t>41.25</w:t>
        </w:r>
      </w:hyperlink>
      <w:r>
        <w:rPr>
          <w:lang w:val="pt_PT" w:bidi="pt_PT"/>
        </w:rPr>
        <w:t xml:space="preserve">; </w:t>
      </w:r>
      <w:hyperlink r:id="rId49">
        <w:r>
          <w:rPr>
            <w:lang w:val="pt_PT" w:bidi="pt_PT"/>
          </w:rPr>
          <w:rPr>
            <w:color w:val="0000EE"/>
            <w:u w:val="single"/>
          </w:rPr>
          <w:t>Jr 51.1</w:t>
        </w:r>
      </w:hyperlink>
      <w:r>
        <w:rPr>
          <w:lang w:val="pt_PT" w:bidi="pt_PT"/>
        </w:rPr>
        <w:t>,</w:t>
      </w:r>
      <w:hyperlink r:id="rId50">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51">
        <w:r>
          <w:rPr>
            <w:lang w:val="pt_PT" w:bidi="pt_PT"/>
          </w:rPr>
          <w:rPr>
            <w:color w:val="0000EE"/>
            <w:u w:val="single"/>
          </w:rPr>
          <w:t>Lv 23.34–43</w:t>
        </w:r>
      </w:hyperlink>
      <w:r>
        <w:rPr>
          <w:lang w:val="pt_PT" w:bidi="pt_PT"/>
        </w:rPr>
        <w:t>). Centenas de anos antes, o Templo de Salomão havia sido dedicado durante este festival (</w:t>
      </w:r>
      <w:hyperlink r:id="rId52">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3">
        <w:r>
          <w:rPr>
            <w:lang w:val="pt_PT" w:bidi="pt_PT"/>
          </w:rPr>
          <w:rPr>
            <w:color w:val="0000EE"/>
            <w:u w:val="single"/>
          </w:rPr>
          <w:t>Is 35</w:t>
        </w:r>
      </w:hyperlink>
      <w:r>
        <w:rPr>
          <w:lang w:val="pt_PT" w:bidi="pt_PT"/>
        </w:rPr>
        <w:t xml:space="preserve">; </w:t>
      </w:r>
      <w:hyperlink r:id="rId54">
        <w:r>
          <w:rPr>
            <w:lang w:val="pt_PT" w:bidi="pt_PT"/>
          </w:rPr>
          <w:rPr>
            <w:color w:val="0000EE"/>
            <w:u w:val="single"/>
          </w:rPr>
          <w:t>40.1–11</w:t>
        </w:r>
      </w:hyperlink>
      <w:r>
        <w:rPr>
          <w:lang w:val="pt_PT" w:bidi="pt_PT"/>
        </w:rPr>
        <w:t xml:space="preserve">; </w:t>
      </w:r>
      <w:hyperlink r:id="rId55">
        <w:r>
          <w:rPr>
            <w:lang w:val="pt_PT" w:bidi="pt_PT"/>
          </w:rPr>
          <w:rPr>
            <w:color w:val="0000EE"/>
            <w:u w:val="single"/>
          </w:rPr>
          <w:t>52.1–12</w:t>
        </w:r>
      </w:hyperlink>
      <w:r>
        <w:rPr>
          <w:lang w:val="pt_PT" w:bidi="pt_PT"/>
        </w:rPr>
        <w:t xml:space="preserve">; </w:t>
      </w:r>
      <w:hyperlink r:id="rId56">
        <w:r>
          <w:rPr>
            <w:lang w:val="pt_PT" w:bidi="pt_PT"/>
          </w:rPr>
          <w:rPr>
            <w:color w:val="0000EE"/>
            <w:u w:val="single"/>
          </w:rPr>
          <w:t>Jr 32.36–44</w:t>
        </w:r>
      </w:hyperlink>
      <w:r>
        <w:rPr>
          <w:lang w:val="pt_PT" w:bidi="pt_PT"/>
        </w:rPr>
        <w:t xml:space="preserve">; </w:t>
      </w:r>
      <w:hyperlink r:id="rId57">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8">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9">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60">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61">
        <w:r>
          <w:rPr>
            <w:lang w:val="pt_PT" w:bidi="pt_PT"/>
          </w:rPr>
          <w:rPr>
            <w:color w:val="0000EE"/>
            <w:u w:val="single"/>
          </w:rPr>
          <w:t>Êxodo 29.46</w:t>
        </w:r>
      </w:hyperlink>
      <w:r>
        <w:rPr>
          <w:lang w:val="pt_PT" w:bidi="pt_PT"/>
        </w:rPr>
        <w:t xml:space="preserve">; </w:t>
      </w:r>
      <w:hyperlink r:id="rId62">
        <w:r>
          <w:rPr>
            <w:lang w:val="pt_PT" w:bidi="pt_PT"/>
          </w:rPr>
          <w:rPr>
            <w:color w:val="0000EE"/>
            <w:u w:val="single"/>
          </w:rPr>
          <w:t>Isaías 63.11</w:t>
        </w:r>
      </w:hyperlink>
      <w:r>
        <w:rPr>
          <w:lang w:val="pt_PT" w:bidi="pt_PT"/>
        </w:rPr>
        <w:t xml:space="preserve">; </w:t>
      </w:r>
      <w:hyperlink r:id="rId63">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4">
        <w:r>
          <w:rPr>
            <w:lang w:val="pt_PT" w:bidi="pt_PT"/>
          </w:rPr>
          <w:rPr>
            <w:color w:val="0000EE"/>
            <w:u w:val="single"/>
          </w:rPr>
          <w:t>Gn 15.18</w:t>
        </w:r>
      </w:hyperlink>
      <w:r>
        <w:rPr>
          <w:lang w:val="pt_PT" w:bidi="pt_PT"/>
        </w:rPr>
        <w:t xml:space="preserve">; </w:t>
      </w:r>
      <w:hyperlink r:id="rId65">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6">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7">
        <w:r>
          <w:rPr>
            <w:lang w:val="pt_PT" w:bidi="pt_PT"/>
          </w:rPr>
          <w:rPr>
            <w:color w:val="0000EE"/>
            <w:u w:val="single"/>
          </w:rPr>
          <w:t>Is 2.19–21</w:t>
        </w:r>
      </w:hyperlink>
      <w:r>
        <w:rPr>
          <w:lang w:val="pt_PT" w:bidi="pt_PT"/>
        </w:rPr>
        <w:t xml:space="preserve">; </w:t>
      </w:r>
      <w:hyperlink r:id="rId68">
        <w:r>
          <w:rPr>
            <w:lang w:val="pt_PT" w:bidi="pt_PT"/>
          </w:rPr>
          <w:rPr>
            <w:color w:val="0000EE"/>
            <w:u w:val="single"/>
          </w:rPr>
          <w:t>30.28</w:t>
        </w:r>
      </w:hyperlink>
      <w:r>
        <w:rPr>
          <w:lang w:val="pt_PT" w:bidi="pt_PT"/>
        </w:rPr>
        <w:t>). O abalo anterior foi o julgamento sobre o Egito na época do êxodo (</w:t>
      </w:r>
      <w:hyperlink r:id="rId69">
        <w:r>
          <w:rPr>
            <w:lang w:val="pt_PT" w:bidi="pt_PT"/>
          </w:rPr>
          <w:rPr>
            <w:color w:val="0000EE"/>
            <w:u w:val="single"/>
          </w:rPr>
          <w:t>Ag 2.21–22</w:t>
        </w:r>
      </w:hyperlink>
      <w:r>
        <w:rPr>
          <w:lang w:val="pt_PT" w:bidi="pt_PT"/>
        </w:rPr>
        <w:t xml:space="preserve">; </w:t>
      </w:r>
      <w:hyperlink r:id="rId70">
        <w:r>
          <w:rPr>
            <w:lang w:val="pt_PT" w:bidi="pt_PT"/>
          </w:rPr>
          <w:rPr>
            <w:color w:val="0000EE"/>
            <w:u w:val="single"/>
          </w:rPr>
          <w:t>Êx 14.31</w:t>
        </w:r>
      </w:hyperlink>
      <w:r>
        <w:rPr>
          <w:lang w:val="pt_PT" w:bidi="pt_PT"/>
        </w:rPr>
        <w:t>). O Novo Testamento relaciona em breve ao retorno de Jesus Cristo (</w:t>
      </w:r>
      <w:hyperlink r:id="rId71">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2">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3">
        <w:r>
          <w:rPr>
            <w:lang w:val="pt_PT" w:bidi="pt_PT"/>
          </w:rPr>
          <w:rPr>
            <w:color w:val="0000EE"/>
            <w:u w:val="single"/>
          </w:rPr>
          <w:t>Ml 3.1</w:t>
        </w:r>
      </w:hyperlink>
      <w:r>
        <w:rPr>
          <w:lang w:val="pt_PT" w:bidi="pt_PT"/>
        </w:rPr>
        <w:t>). Jesus foi apresentado no Templo do Senhor como um bebê (</w:t>
      </w:r>
      <w:hyperlink r:id="rId74">
        <w:r>
          <w:rPr>
            <w:lang w:val="pt_PT" w:bidi="pt_PT"/>
          </w:rPr>
          <w:rPr>
            <w:color w:val="0000EE"/>
            <w:u w:val="single"/>
          </w:rPr>
          <w:t>Lc 2.22</w:t>
        </w:r>
      </w:hyperlink>
      <w:r>
        <w:rPr>
          <w:lang w:val="pt_PT" w:bidi="pt_PT"/>
        </w:rPr>
        <w:t>), e ele ensinou lá como adulto (</w:t>
      </w:r>
      <w:hyperlink r:id="rId75">
        <w:r>
          <w:rPr>
            <w:lang w:val="pt_PT" w:bidi="pt_PT"/>
          </w:rPr>
          <w:rPr>
            <w:color w:val="0000EE"/>
            <w:u w:val="single"/>
          </w:rPr>
          <w:t>Lc 19.45–47</w:t>
        </w:r>
      </w:hyperlink>
      <w:r>
        <w:rPr>
          <w:lang w:val="pt_PT" w:bidi="pt_PT"/>
        </w:rPr>
        <w:t>). Jesus, a Palavra humana de Deus, é maior que o Templo (</w:t>
      </w:r>
      <w:hyperlink r:id="rId76">
        <w:r>
          <w:rPr>
            <w:lang w:val="pt_PT" w:bidi="pt_PT"/>
          </w:rPr>
          <w:rPr>
            <w:color w:val="0000EE"/>
            <w:u w:val="single"/>
          </w:rPr>
          <w:t>Mt 12.6</w:t>
        </w:r>
      </w:hyperlink>
      <w:r>
        <w:rPr>
          <w:lang w:val="pt_PT" w:bidi="pt_PT"/>
        </w:rPr>
        <w:t xml:space="preserve">; veja </w:t>
      </w:r>
      <w:hyperlink r:id="rId77">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8">
        <w:r>
          <w:rPr>
            <w:lang w:val="pt_PT" w:bidi="pt_PT"/>
          </w:rPr>
          <w:rPr>
            <w:color w:val="0000EE"/>
            <w:u w:val="single"/>
          </w:rPr>
          <w:t>Lc 2.29–32</w:t>
        </w:r>
      </w:hyperlink>
      <w:r>
        <w:rPr>
          <w:lang w:val="pt_PT" w:bidi="pt_PT"/>
        </w:rPr>
        <w:t>). • paz ao meu povo: A bênção sacerdotal (</w:t>
      </w:r>
      <w:hyperlink r:id="rId79">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80">
        <w:r>
          <w:rPr>
            <w:lang w:val="pt_PT" w:bidi="pt_PT"/>
          </w:rPr>
          <w:rPr>
            <w:color w:val="0000EE"/>
            <w:u w:val="single"/>
          </w:rPr>
          <w:t>Ez 34.25</w:t>
        </w:r>
      </w:hyperlink>
      <w:r>
        <w:rPr>
          <w:lang w:val="pt_PT" w:bidi="pt_PT"/>
        </w:rPr>
        <w:t xml:space="preserve">; </w:t>
      </w:r>
      <w:hyperlink r:id="rId81">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2">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3">
        <w:r>
          <w:rPr>
            <w:lang w:val="pt_PT" w:bidi="pt_PT"/>
          </w:rPr>
          <w:rPr>
            <w:color w:val="0000EE"/>
            <w:u w:val="single"/>
          </w:rPr>
          <w:t>Dt 33.10</w:t>
        </w:r>
      </w:hyperlink>
      <w:r>
        <w:rPr>
          <w:lang w:val="pt_PT" w:bidi="pt_PT"/>
        </w:rPr>
        <w:t xml:space="preserve">; </w:t>
      </w:r>
      <w:hyperlink r:id="rId84">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5">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6">
        <w:r>
          <w:rPr>
            <w:lang w:val="pt_PT" w:bidi="pt_PT"/>
          </w:rPr>
          <w:rPr>
            <w:color w:val="0000EE"/>
            <w:u w:val="single"/>
          </w:rPr>
          <w:t>Nm 19.11–13</w:t>
        </w:r>
      </w:hyperlink>
      <w:r>
        <w:rPr>
          <w:lang w:val="pt_PT" w:bidi="pt_PT"/>
        </w:rPr>
        <w:t xml:space="preserve">, </w:t>
      </w:r>
      <w:hyperlink r:id="rId87">
        <w:r>
          <w:rPr>
            <w:lang w:val="pt_PT" w:bidi="pt_PT"/>
          </w:rPr>
          <w:rPr>
            <w:color w:val="0000EE"/>
            <w:u w:val="single"/>
          </w:rPr>
          <w:t>22</w:t>
        </w:r>
      </w:hyperlink>
      <w:r>
        <w:rPr>
          <w:lang w:val="pt_PT" w:bidi="pt_PT"/>
        </w:rPr>
        <w:t xml:space="preserve">). Ageu aplica isso em </w:t>
      </w:r>
      <w:hyperlink r:id="rId88">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9">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7">
        <w:r>
          <w:rPr>
            <w:lang w:val="pt_PT" w:bidi="pt_PT"/>
          </w:rPr>
          <w:rPr>
            <w:color w:val="0000EE"/>
            <w:u w:val="single"/>
          </w:rPr>
          <w:t>Ag 1.7</w:t>
        </w:r>
      </w:hyperlink>
      <w:r>
        <w:rPr>
          <w:lang w:val="pt_PT" w:bidi="pt_PT"/>
        </w:rPr>
        <w:t xml:space="preserve">, </w:t>
      </w:r>
      <w:hyperlink r:id="rId9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91">
        <w:r>
          <w:rPr>
            <w:lang w:val="pt_PT" w:bidi="pt_PT"/>
          </w:rPr>
          <w:rPr>
            <w:color w:val="0000EE"/>
            <w:u w:val="single"/>
          </w:rPr>
          <w:t>Dt 31.27</w:t>
        </w:r>
      </w:hyperlink>
      <w:r>
        <w:rPr>
          <w:lang w:val="pt_PT" w:bidi="pt_PT"/>
        </w:rPr>
        <w:t>) até o tempo de Jesus (</w:t>
      </w:r>
      <w:hyperlink r:id="rId92">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3">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4">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5">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6">
        <w:r>
          <w:rPr>
            <w:lang w:val="pt_PT" w:bidi="pt_PT"/>
          </w:rPr>
          <w:rPr>
            <w:color w:val="0000EE"/>
            <w:u w:val="single"/>
          </w:rPr>
          <w:t>Jr 23.5</w:t>
        </w:r>
      </w:hyperlink>
      <w:r>
        <w:rPr>
          <w:lang w:val="pt_PT" w:bidi="pt_PT"/>
        </w:rPr>
        <w:t xml:space="preserve">; </w:t>
      </w:r>
      <w:hyperlink r:id="rId97">
        <w:r>
          <w:rPr>
            <w:lang w:val="pt_PT" w:bidi="pt_PT"/>
          </w:rPr>
          <w:rPr>
            <w:color w:val="0000EE"/>
            <w:u w:val="single"/>
          </w:rPr>
          <w:t>Ez 37.24</w:t>
        </w:r>
      </w:hyperlink>
      <w:r>
        <w:rPr>
          <w:lang w:val="pt_PT" w:bidi="pt_PT"/>
        </w:rPr>
        <w:t>). Deus havia amaldiçoado o descendente de Davi, o Rei Jeoaquim, na época do Exílio (</w:t>
      </w:r>
      <w:hyperlink r:id="rId98">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9">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100">
        <w:r>
          <w:rPr>
            <w:lang w:val="pt_PT" w:bidi="pt_PT"/>
          </w:rPr>
          <w:rPr>
            <w:color w:val="0000EE"/>
            <w:u w:val="single"/>
          </w:rPr>
          <w:t>1Cr 3.19</w:t>
        </w:r>
      </w:hyperlink>
      <w:r>
        <w:rPr>
          <w:lang w:val="pt_PT" w:bidi="pt_PT"/>
        </w:rPr>
        <w:t>). A afirmação de Ageu assim anula a maldição sobre Jeoaquim (</w:t>
      </w:r>
      <w:hyperlink r:id="rId98">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101">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2">
        <w:r>
          <w:rPr>
            <w:lang w:val="pt_PT" w:bidi="pt_PT"/>
          </w:rPr>
          <w:rPr>
            <w:color w:val="0000EE"/>
            <w:u w:val="single"/>
          </w:rPr>
          <w:t>Mt 1.12</w:t>
        </w:r>
      </w:hyperlink>
      <w:r>
        <w:rPr>
          <w:lang w:val="pt_PT" w:bidi="pt_PT"/>
        </w:rPr>
        <w:t xml:space="preserve">; </w:t>
      </w:r>
      <w:hyperlink r:id="rId103">
        <w:r>
          <w:rPr>
            <w:lang w:val="pt_PT" w:bidi="pt_PT"/>
          </w:rPr>
          <w:rPr>
            <w:color w:val="0000EE"/>
            <w:u w:val="single"/>
          </w:rPr>
          <w:t>Lc 1.32–33</w:t>
        </w:r>
      </w:hyperlink>
      <w:r>
        <w:rPr>
          <w:lang w:val="pt_PT" w:bidi="pt_PT"/>
        </w:rPr>
        <w:t xml:space="preserve">; </w:t>
      </w:r>
      <w:hyperlink r:id="rId104">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