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3">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4">
        <w:r>
          <w:rPr>
            <w:lang w:val="pt_PT" w:bidi="pt_PT"/>
          </w:rPr>
          <w:rPr>
            <w:color w:val="0000EE"/>
            <w:u w:val="single"/>
          </w:rPr>
          <w:t>Jr 25.11–12</w:t>
        </w:r>
      </w:hyperlink>
      <w:r>
        <w:rPr>
          <w:lang w:val="pt_PT" w:bidi="pt_PT"/>
        </w:rPr>
        <w:t xml:space="preserve">; </w:t>
      </w:r>
      <w:hyperlink r:id="rId15">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6">
        <w:r>
          <w:rPr>
            <w:lang w:val="pt_PT" w:bidi="pt_PT"/>
          </w:rPr>
          <w:rPr>
            <w:color w:val="0000EE"/>
            <w:u w:val="single"/>
          </w:rPr>
          <w:t>Is 13.17</w:t>
        </w:r>
      </w:hyperlink>
      <w:r>
        <w:rPr>
          <w:lang w:val="pt_PT" w:bidi="pt_PT"/>
        </w:rPr>
        <w:t xml:space="preserve">; </w:t>
      </w:r>
      <w:hyperlink r:id="rId17">
        <w:r>
          <w:rPr>
            <w:lang w:val="pt_PT" w:bidi="pt_PT"/>
          </w:rPr>
          <w:rPr>
            <w:color w:val="0000EE"/>
            <w:u w:val="single"/>
          </w:rPr>
          <w:t>41.2</w:t>
        </w:r>
      </w:hyperlink>
      <w:r>
        <w:rPr>
          <w:lang w:val="pt_PT" w:bidi="pt_PT"/>
        </w:rPr>
        <w:t>,</w:t>
      </w:r>
      <w:hyperlink r:id="rId18">
        <w:r>
          <w:rPr>
            <w:lang w:val="pt_PT" w:bidi="pt_PT"/>
          </w:rPr>
          <w:rPr>
            <w:color w:val="0000EE"/>
            <w:u w:val="single"/>
          </w:rPr>
          <w:t>25</w:t>
        </w:r>
      </w:hyperlink>
      <w:r>
        <w:rPr>
          <w:lang w:val="pt_PT" w:bidi="pt_PT"/>
        </w:rPr>
        <w:t xml:space="preserve">; </w:t>
      </w:r>
      <w:hyperlink r:id="rId19">
        <w:r>
          <w:rPr>
            <w:lang w:val="pt_PT" w:bidi="pt_PT"/>
          </w:rPr>
          <w:rPr>
            <w:color w:val="0000EE"/>
            <w:u w:val="single"/>
          </w:rPr>
          <w:t>Jr 50.9</w:t>
        </w:r>
      </w:hyperlink>
      <w:r>
        <w:rPr>
          <w:lang w:val="pt_PT" w:bidi="pt_PT"/>
        </w:rPr>
        <w:t>). Deus é soberano, mesmo quando governantes e nações não reconhecem sua autoridade (</w:t>
      </w:r>
      <w:hyperlink r:id="rId20">
        <w:r>
          <w:rPr>
            <w:lang w:val="pt_PT" w:bidi="pt_PT"/>
          </w:rPr>
          <w:rPr>
            <w:color w:val="0000EE"/>
            <w:u w:val="single"/>
          </w:rPr>
          <w:t>Is 10.5</w:t>
        </w:r>
      </w:hyperlink>
      <w:r>
        <w:rPr>
          <w:lang w:val="pt_PT" w:bidi="pt_PT"/>
        </w:rPr>
        <w:t>,</w:t>
      </w:r>
      <w:hyperlink r:id="rId21">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2">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3">
        <w:r>
          <w:rPr>
            <w:lang w:val="pt_PT" w:bidi="pt_PT"/>
          </w:rPr>
          <w:rPr>
            <w:color w:val="0000EE"/>
            <w:u w:val="single"/>
          </w:rPr>
          <w:t>Is 44.28</w:t>
        </w:r>
      </w:hyperlink>
      <w:r>
        <w:rPr>
          <w:lang w:val="pt_PT" w:bidi="pt_PT"/>
        </w:rPr>
        <w:t xml:space="preserve">; </w:t>
      </w:r>
      <w:hyperlink r:id="rId24">
        <w:r>
          <w:rPr>
            <w:lang w:val="pt_PT" w:bidi="pt_PT"/>
          </w:rPr>
          <w:rPr>
            <w:color w:val="0000EE"/>
            <w:u w:val="single"/>
          </w:rPr>
          <w:t>45.1</w:t>
        </w:r>
      </w:hyperlink>
      <w:r>
        <w:rPr>
          <w:lang w:val="pt_PT" w:bidi="pt_PT"/>
        </w:rPr>
        <w:t xml:space="preserve">, </w:t>
      </w:r>
      <w:hyperlink r:id="rId25">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6">
        <w:r>
          <w:rPr>
            <w:lang w:val="pt_PT" w:bidi="pt_PT"/>
          </w:rPr>
          <w:rPr>
            <w:color w:val="0000EE"/>
            <w:u w:val="single"/>
          </w:rPr>
          <w:t>Dn 6.1–28</w:t>
        </w:r>
      </w:hyperlink>
      <w:r>
        <w:rPr>
          <w:lang w:val="pt_PT" w:bidi="pt_PT"/>
        </w:rPr>
        <w:t xml:space="preserve">; </w:t>
      </w:r>
      <w:hyperlink r:id="rId27">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3">
        <w:r>
          <w:rPr>
            <w:lang w:val="pt_PT" w:bidi="pt_PT"/>
          </w:rPr>
          <w:rPr>
            <w:color w:val="0000EE"/>
            <w:u w:val="single"/>
          </w:rPr>
          <w:t>Is 44.28</w:t>
        </w:r>
      </w:hyperlink>
      <w:r>
        <w:rPr>
          <w:lang w:val="pt_PT" w:bidi="pt_PT"/>
        </w:rPr>
        <w:t xml:space="preserve">; </w:t>
      </w:r>
      <w:hyperlink r:id="rId25">
        <w:r>
          <w:rPr>
            <w:lang w:val="pt_PT" w:bidi="pt_PT"/>
          </w:rPr>
          <w:rPr>
            <w:color w:val="0000EE"/>
            <w:u w:val="single"/>
          </w:rPr>
          <w:t>45.13</w:t>
        </w:r>
      </w:hyperlink>
      <w:r>
        <w:rPr>
          <w:lang w:val="pt_PT" w:bidi="pt_PT"/>
        </w:rPr>
        <w:t xml:space="preserve">; </w:t>
      </w:r>
      <w:hyperlink r:id="rId28">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29">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0">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1">
        <w:r>
          <w:rPr>
            <w:lang w:val="pt_PT" w:bidi="pt_PT"/>
          </w:rPr>
          <w:rPr>
            <w:color w:val="0000EE"/>
            <w:u w:val="single"/>
          </w:rPr>
          <w:t>2Cr 36.7</w:t>
        </w:r>
      </w:hyperlink>
      <w:r>
        <w:rPr>
          <w:lang w:val="pt_PT" w:bidi="pt_PT"/>
        </w:rPr>
        <w:t xml:space="preserve">; </w:t>
      </w:r>
      <w:hyperlink r:id="rId32">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3">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4">
        <w:r>
          <w:rPr>
            <w:lang w:val="pt_PT" w:bidi="pt_PT"/>
          </w:rPr>
          <w:rPr>
            <w:color w:val="0000EE"/>
            <w:u w:val="single"/>
          </w:rPr>
          <w:t>5.14–16</w:t>
        </w:r>
      </w:hyperlink>
      <w:r>
        <w:rPr>
          <w:lang w:val="pt_PT" w:bidi="pt_PT"/>
        </w:rPr>
        <w:t>). Alguns acreditam que Zorobabel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xml:space="preserve">) era a mesma pessoa com um novo nome (cp. </w:t>
      </w:r>
      <w:hyperlink r:id="rId37">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38">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da linhagem de Arão, era o sumo sacerdote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1">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2">
        <w:r>
          <w:rPr>
            <w:lang w:val="pt_PT" w:bidi="pt_PT"/>
          </w:rPr>
          <w:rPr>
            <w:color w:val="0000EE"/>
            <w:u w:val="single"/>
          </w:rPr>
          <w:t>1Cr 25.1–31</w:t>
        </w:r>
      </w:hyperlink>
      <w:r>
        <w:rPr>
          <w:lang w:val="pt_PT" w:bidi="pt_PT"/>
        </w:rPr>
        <w:t xml:space="preserve">; </w:t>
      </w:r>
      <w:hyperlink r:id="rId43">
        <w:r>
          <w:rPr>
            <w:lang w:val="pt_PT" w:bidi="pt_PT"/>
          </w:rPr>
          <w:rPr>
            <w:color w:val="0000EE"/>
            <w:u w:val="single"/>
          </w:rPr>
          <w:t>Sl 73–83</w:t>
        </w:r>
      </w:hyperlink>
      <w:r>
        <w:rPr>
          <w:lang w:val="pt_PT" w:bidi="pt_PT"/>
        </w:rPr>
        <w:t>), enquanto os porteiros regulavam os portões e armazéns do Templo (</w:t>
      </w:r>
      <w:hyperlink r:id="rId44">
        <w:r>
          <w:rPr>
            <w:lang w:val="pt_PT" w:bidi="pt_PT"/>
          </w:rPr>
          <w:rPr>
            <w:color w:val="0000EE"/>
            <w:u w:val="single"/>
          </w:rPr>
          <w:t>1Cr 9.26–27</w:t>
        </w:r>
      </w:hyperlink>
      <w:r>
        <w:rPr>
          <w:lang w:val="pt_PT" w:bidi="pt_PT"/>
        </w:rPr>
        <w:t xml:space="preserve">; </w:t>
      </w:r>
      <w:hyperlink r:id="rId45">
        <w:r>
          <w:rPr>
            <w:lang w:val="pt_PT" w:bidi="pt_PT"/>
          </w:rPr>
          <w:rPr>
            <w:color w:val="0000EE"/>
            <w:u w:val="single"/>
          </w:rPr>
          <w:t>2Cr 23.19</w:t>
        </w:r>
      </w:hyperlink>
      <w:r>
        <w:rPr>
          <w:lang w:val="pt_PT" w:bidi="pt_PT"/>
        </w:rPr>
        <w:t xml:space="preserve">; </w:t>
      </w:r>
      <w:hyperlink r:id="rId46">
        <w:r>
          <w:rPr>
            <w:lang w:val="pt_PT" w:bidi="pt_PT"/>
          </w:rPr>
          <w:rPr>
            <w:color w:val="0000EE"/>
            <w:u w:val="single"/>
          </w:rPr>
          <w:t>Ne 12.25</w:t>
        </w:r>
      </w:hyperlink>
      <w:r>
        <w:rPr>
          <w:lang w:val="pt_PT" w:bidi="pt_PT"/>
        </w:rPr>
        <w:t>). • Asafe foi um dos três levitas que Davi nomeou para conduzir a música no Templo (</w:t>
      </w:r>
      <w:hyperlink r:id="rId47">
        <w:r>
          <w:rPr>
            <w:lang w:val="pt_PT" w:bidi="pt_PT"/>
          </w:rPr>
          <w:rPr>
            <w:color w:val="0000EE"/>
            <w:u w:val="single"/>
          </w:rPr>
          <w:t>1Cr 16.5</w:t>
        </w:r>
      </w:hyperlink>
      <w:r>
        <w:rPr>
          <w:lang w:val="pt_PT" w:bidi="pt_PT"/>
        </w:rPr>
        <w:t xml:space="preserve">, </w:t>
      </w:r>
      <w:hyperlink r:id="rId48">
        <w:r>
          <w:rPr>
            <w:lang w:val="pt_PT" w:bidi="pt_PT"/>
          </w:rPr>
          <w:rPr>
            <w:color w:val="0000EE"/>
            <w:u w:val="single"/>
          </w:rPr>
          <w:t>7</w:t>
        </w:r>
      </w:hyperlink>
      <w:r>
        <w:rPr>
          <w:lang w:val="pt_PT" w:bidi="pt_PT"/>
        </w:rPr>
        <w:t>), e ele escreveu uma coleção de salmos (</w:t>
      </w:r>
      <w:hyperlink r:id="rId49">
        <w:r>
          <w:rPr>
            <w:lang w:val="pt_PT" w:bidi="pt_PT"/>
          </w:rPr>
          <w:rPr>
            <w:color w:val="0000EE"/>
            <w:u w:val="single"/>
          </w:rPr>
          <w:t>Sl 50</w:t>
        </w:r>
      </w:hyperlink>
      <w:r>
        <w:rPr>
          <w:lang w:val="pt_PT" w:bidi="pt_PT"/>
        </w:rPr>
        <w:t xml:space="preserve">, </w:t>
      </w:r>
      <w:hyperlink r:id="rId43">
        <w:r>
          <w:rPr>
            <w:lang w:val="pt_PT" w:bidi="pt_PT"/>
          </w:rPr>
          <w:rPr>
            <w:color w:val="0000EE"/>
            <w:u w:val="single"/>
          </w:rPr>
          <w:t>73–83</w:t>
        </w:r>
      </w:hyperlink>
      <w:r>
        <w:rPr>
          <w:lang w:val="pt_PT" w:bidi="pt_PT"/>
        </w:rPr>
        <w:t>). Sua família continuou seu trabalho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1">
        <w:r>
          <w:rPr>
            <w:lang w:val="pt_PT" w:bidi="pt_PT"/>
          </w:rPr>
          <w:rPr>
            <w:color w:val="0000EE"/>
            <w:u w:val="single"/>
          </w:rPr>
          <w:t>Js 9.23–27</w:t>
        </w:r>
      </w:hyperlink>
      <w:r>
        <w:rPr>
          <w:lang w:val="pt_PT" w:bidi="pt_PT"/>
        </w:rPr>
        <w:t>). Eles ajudavam os levitas (</w:t>
      </w:r>
      <w:hyperlink r:id="rId52">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3">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4">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1">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5">
        <w:r>
          <w:rPr>
            <w:lang w:val="pt_PT" w:bidi="pt_PT"/>
          </w:rPr>
          <w:rPr>
            <w:color w:val="0000EE"/>
            <w:u w:val="single"/>
          </w:rPr>
          <w:t>Êx 28.30</w:t>
        </w:r>
      </w:hyperlink>
      <w:r>
        <w:rPr>
          <w:lang w:val="pt_PT" w:bidi="pt_PT"/>
        </w:rPr>
        <w:t xml:space="preserve">; </w:t>
      </w:r>
      <w:hyperlink r:id="rId56">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7">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58">
        <w:r>
          <w:rPr>
            <w:lang w:val="pt_PT" w:bidi="pt_PT"/>
          </w:rPr>
          <w:rPr>
            <w:color w:val="0000EE"/>
            <w:u w:val="single"/>
          </w:rPr>
          <w:t>Êx 25.2–7</w:t>
        </w:r>
      </w:hyperlink>
      <w:r>
        <w:rPr>
          <w:lang w:val="pt_PT" w:bidi="pt_PT"/>
        </w:rPr>
        <w:t xml:space="preserve">; </w:t>
      </w:r>
      <w:hyperlink r:id="rId59">
        <w:r>
          <w:rPr>
            <w:lang w:val="pt_PT" w:bidi="pt_PT"/>
          </w:rPr>
          <w:rPr>
            <w:color w:val="0000EE"/>
            <w:u w:val="single"/>
          </w:rPr>
          <w:t>35.4–9</w:t>
        </w:r>
      </w:hyperlink>
      <w:r>
        <w:rPr>
          <w:lang w:val="pt_PT" w:bidi="pt_PT"/>
        </w:rPr>
        <w:t>) e o Templo foi renovado (</w:t>
      </w:r>
      <w:hyperlink r:id="rId60">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1">
        <w:r>
          <w:rPr>
            <w:lang w:val="pt_PT" w:bidi="pt_PT"/>
          </w:rPr>
          <w:rPr>
            <w:color w:val="0000EE"/>
            <w:u w:val="single"/>
          </w:rPr>
          <w:t>Ed 6.8</w:t>
        </w:r>
      </w:hyperlink>
      <w:r>
        <w:rPr>
          <w:lang w:val="pt_PT" w:bidi="pt_PT"/>
        </w:rPr>
        <w:t>) e presentes de israelitas que permaneceram na Babilônia (</w:t>
      </w:r>
      <w:hyperlink r:id="rId62">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3">
        <w:r>
          <w:rPr>
            <w:lang w:val="pt_PT" w:bidi="pt_PT"/>
          </w:rPr>
          <w:rPr>
            <w:color w:val="0000EE"/>
            <w:u w:val="single"/>
          </w:rPr>
          <w:t>Lv 23.23–25</w:t>
        </w:r>
      </w:hyperlink>
      <w:r>
        <w:rPr>
          <w:lang w:val="pt_PT" w:bidi="pt_PT"/>
        </w:rPr>
        <w:t xml:space="preserve">), o Dia da Expiação (veja </w:t>
      </w:r>
      <w:hyperlink r:id="rId64">
        <w:r>
          <w:rPr>
            <w:lang w:val="pt_PT" w:bidi="pt_PT"/>
          </w:rPr>
          <w:rPr>
            <w:color w:val="0000EE"/>
            <w:u w:val="single"/>
          </w:rPr>
          <w:t>Lv 16</w:t>
        </w:r>
      </w:hyperlink>
      <w:r>
        <w:rPr>
          <w:lang w:val="pt_PT" w:bidi="pt_PT"/>
        </w:rPr>
        <w:t xml:space="preserve">) e a Festa das Cabanas (veja </w:t>
      </w:r>
      <w:hyperlink r:id="rId65">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6">
        <w:r>
          <w:rPr>
            <w:lang w:val="pt_PT" w:bidi="pt_PT"/>
          </w:rPr>
          <w:rPr>
            <w:color w:val="0000EE"/>
            <w:u w:val="single"/>
          </w:rPr>
          <w:t>3.4</w:t>
        </w:r>
      </w:hyperlink>
      <w:r>
        <w:rPr>
          <w:lang w:val="pt_PT" w:bidi="pt_PT"/>
        </w:rPr>
        <w:t>), e então iniciaram a tarefa mais difícil de reconstruir o próprio Templo (</w:t>
      </w:r>
      <w:hyperlink r:id="rId36">
        <w:r>
          <w:rPr>
            <w:lang w:val="pt_PT" w:bidi="pt_PT"/>
          </w:rPr>
          <w:rPr>
            <w:color w:val="0000EE"/>
            <w:u w:val="single"/>
          </w:rPr>
          <w:t>3.8</w:t>
        </w:r>
      </w:hyperlink>
      <w:r>
        <w:rPr>
          <w:lang w:val="pt_PT" w:bidi="pt_PT"/>
        </w:rPr>
        <w:t>). Logo enfrentaram oposição de estrangeiros locais (</w:t>
      </w:r>
      <w:hyperlink r:id="rId67">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era o sumo sacerdote (</w:t>
      </w:r>
      <w:hyperlink r:id="rId68">
        <w:r>
          <w:rPr>
            <w:lang w:val="pt_PT" w:bidi="pt_PT"/>
          </w:rPr>
          <w:rPr>
            <w:color w:val="0000EE"/>
            <w:u w:val="single"/>
          </w:rPr>
          <w:t>Ne 12.1</w:t>
        </w:r>
      </w:hyperlink>
      <w:r>
        <w:rPr>
          <w:lang w:val="pt_PT" w:bidi="pt_PT"/>
        </w:rPr>
        <w:t>). No entanto, Esdras nunca usou esse título (</w:t>
      </w:r>
      <w:hyperlink r:id="rId69">
        <w:r>
          <w:rPr>
            <w:lang w:val="pt_PT" w:bidi="pt_PT"/>
          </w:rPr>
          <w:rPr>
            <w:color w:val="0000EE"/>
            <w:u w:val="single"/>
          </w:rPr>
          <w:t>Ed 2.2</w:t>
        </w:r>
      </w:hyperlink>
      <w:r>
        <w:rPr>
          <w:lang w:val="pt_PT" w:bidi="pt_PT"/>
        </w:rPr>
        <w:t xml:space="preserve">; </w:t>
      </w:r>
      <w:hyperlink r:id="rId35">
        <w:r>
          <w:rPr>
            <w:lang w:val="pt_PT" w:bidi="pt_PT"/>
          </w:rPr>
          <w:rPr>
            <w:color w:val="0000EE"/>
            <w:u w:val="single"/>
          </w:rPr>
          <w:t>3.2</w:t>
        </w:r>
      </w:hyperlink>
      <w:r>
        <w:rPr>
          <w:lang w:val="pt_PT" w:bidi="pt_PT"/>
        </w:rPr>
        <w:t xml:space="preserve">; </w:t>
      </w:r>
      <w:hyperlink r:id="rId70">
        <w:r>
          <w:rPr>
            <w:lang w:val="pt_PT" w:bidi="pt_PT"/>
          </w:rPr>
          <w:rPr>
            <w:color w:val="0000EE"/>
            <w:u w:val="single"/>
          </w:rPr>
          <w:t>4.3</w:t>
        </w:r>
      </w:hyperlink>
      <w:r>
        <w:rPr>
          <w:lang w:val="pt_PT" w:bidi="pt_PT"/>
        </w:rPr>
        <w:t xml:space="preserve">; </w:t>
      </w:r>
      <w:hyperlink r:id="rId71">
        <w:r>
          <w:rPr>
            <w:lang w:val="pt_PT" w:bidi="pt_PT"/>
          </w:rPr>
          <w:rPr>
            <w:color w:val="0000EE"/>
            <w:u w:val="single"/>
          </w:rPr>
          <w:t>5.2</w:t>
        </w:r>
      </w:hyperlink>
      <w:r>
        <w:rPr>
          <w:lang w:val="pt_PT" w:bidi="pt_PT"/>
        </w:rPr>
        <w:t>), o que sugere que o título foi dado após a conclusão do Templo (</w:t>
      </w:r>
      <w:hyperlink r:id="rId72">
        <w:r>
          <w:rPr>
            <w:lang w:val="pt_PT" w:bidi="pt_PT"/>
          </w:rPr>
          <w:rPr>
            <w:color w:val="0000EE"/>
            <w:u w:val="single"/>
          </w:rPr>
          <w:t>6.15</w:t>
        </w:r>
      </w:hyperlink>
      <w:r>
        <w:rPr>
          <w:lang w:val="pt_PT" w:bidi="pt_PT"/>
        </w:rPr>
        <w:t>). • Zorobabel serviu como governador de Judá nomeado pelos persas (</w:t>
      </w:r>
      <w:hyperlink r:id="rId39">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3">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4">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5">
        <w:r>
          <w:rPr>
            <w:lang w:val="pt_PT" w:bidi="pt_PT"/>
          </w:rPr>
          <w:rPr>
            <w:color w:val="0000EE"/>
            <w:u w:val="single"/>
          </w:rPr>
          <w:t>Êx 29.38–42</w:t>
        </w:r>
      </w:hyperlink>
      <w:r>
        <w:rPr>
          <w:lang w:val="pt_PT" w:bidi="pt_PT"/>
        </w:rPr>
        <w:t xml:space="preserve">; </w:t>
      </w:r>
      <w:hyperlink r:id="rId76">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7">
        <w:r>
          <w:rPr>
            <w:lang w:val="pt_PT" w:bidi="pt_PT"/>
          </w:rPr>
          <w:rPr>
            <w:color w:val="0000EE"/>
            <w:u w:val="single"/>
          </w:rPr>
          <w:t>Lv 23.33–36</w:t>
        </w:r>
      </w:hyperlink>
      <w:r>
        <w:rPr>
          <w:lang w:val="pt_PT" w:bidi="pt_PT"/>
        </w:rPr>
        <w:t xml:space="preserve">; </w:t>
      </w:r>
      <w:hyperlink r:id="rId78">
        <w:r>
          <w:rPr>
            <w:lang w:val="pt_PT" w:bidi="pt_PT"/>
          </w:rPr>
          <w:rPr>
            <w:color w:val="0000EE"/>
            <w:u w:val="single"/>
          </w:rPr>
          <w:t>Nm 29.12–38</w:t>
        </w:r>
      </w:hyperlink>
      <w:r>
        <w:rPr>
          <w:lang w:val="pt_PT" w:bidi="pt_PT"/>
        </w:rPr>
        <w:t xml:space="preserve">; </w:t>
      </w:r>
      <w:hyperlink r:id="rId79">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0">
        <w:r>
          <w:rPr>
            <w:lang w:val="pt_PT" w:bidi="pt_PT"/>
          </w:rPr>
          <w:rPr>
            <w:color w:val="0000EE"/>
            <w:u w:val="single"/>
          </w:rPr>
          <w:t>Nm 10.10</w:t>
        </w:r>
      </w:hyperlink>
      <w:r>
        <w:rPr>
          <w:lang w:val="pt_PT" w:bidi="pt_PT"/>
        </w:rPr>
        <w:t xml:space="preserve">; </w:t>
      </w:r>
      <w:hyperlink r:id="rId81">
        <w:r>
          <w:rPr>
            <w:lang w:val="pt_PT" w:bidi="pt_PT"/>
          </w:rPr>
          <w:rPr>
            <w:color w:val="0000EE"/>
            <w:u w:val="single"/>
          </w:rPr>
          <w:t>28.11–15</w:t>
        </w:r>
      </w:hyperlink>
      <w:r>
        <w:rPr>
          <w:lang w:val="pt_PT" w:bidi="pt_PT"/>
        </w:rPr>
        <w:t>). • Ofertas voluntárias eram presentes como dinheiro para a construção do Templo (</w:t>
      </w:r>
      <w:hyperlink r:id="rId82">
        <w:r>
          <w:rPr>
            <w:lang w:val="pt_PT" w:bidi="pt_PT"/>
          </w:rPr>
          <w:rPr>
            <w:color w:val="0000EE"/>
            <w:u w:val="single"/>
          </w:rPr>
          <w:t>Êx 35.29</w:t>
        </w:r>
      </w:hyperlink>
      <w:r>
        <w:rPr>
          <w:lang w:val="pt_PT" w:bidi="pt_PT"/>
        </w:rPr>
        <w:t xml:space="preserve">; </w:t>
      </w:r>
      <w:hyperlink r:id="rId83">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4">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5">
        <w:r>
          <w:rPr>
            <w:lang w:val="pt_PT" w:bidi="pt_PT"/>
          </w:rPr>
          <w:rPr>
            <w:color w:val="0000EE"/>
            <w:u w:val="single"/>
          </w:rPr>
          <w:t>1Cr 22.1–5</w:t>
        </w:r>
      </w:hyperlink>
      <w:r>
        <w:rPr>
          <w:lang w:val="pt_PT" w:bidi="pt_PT"/>
        </w:rPr>
        <w:t xml:space="preserve">; </w:t>
      </w:r>
      <w:hyperlink r:id="rId86">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7">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88">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8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0">
        <w:r>
          <w:rPr>
            <w:lang w:val="pt_PT" w:bidi="pt_PT"/>
          </w:rPr>
          <w:rPr>
            <w:color w:val="0000EE"/>
            <w:u w:val="single"/>
          </w:rPr>
          <w:t>2Rs 17.27–34</w:t>
        </w:r>
      </w:hyperlink>
      <w:r>
        <w:rPr>
          <w:lang w:val="pt_PT" w:bidi="pt_PT"/>
        </w:rPr>
        <w:t xml:space="preserve">, </w:t>
      </w:r>
      <w:hyperlink r:id="rId91">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2">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3">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2">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4">
        <w:r>
          <w:rPr>
            <w:lang w:val="pt_PT" w:bidi="pt_PT"/>
          </w:rPr>
          <w:rPr>
            <w:color w:val="0000EE"/>
            <w:u w:val="single"/>
          </w:rPr>
          <w:t>4.6</w:t>
        </w:r>
      </w:hyperlink>
      <w:r>
        <w:rPr>
          <w:lang w:val="pt_PT" w:bidi="pt_PT"/>
        </w:rPr>
        <w:t xml:space="preserve"> se encaixa entre os caps. </w:t>
      </w:r>
      <w:hyperlink r:id="rId95">
        <w:r>
          <w:rPr>
            <w:lang w:val="pt_PT" w:bidi="pt_PT"/>
          </w:rPr>
          <w:rPr>
            <w:color w:val="0000EE"/>
            <w:u w:val="single"/>
          </w:rPr>
          <w:t>6</w:t>
        </w:r>
      </w:hyperlink>
      <w:r>
        <w:rPr>
          <w:lang w:val="pt_PT" w:bidi="pt_PT"/>
        </w:rPr>
        <w:t xml:space="preserve"> e </w:t>
      </w:r>
      <w:hyperlink r:id="rId96">
        <w:r>
          <w:rPr>
            <w:lang w:val="pt_PT" w:bidi="pt_PT"/>
          </w:rPr>
          <w:rPr>
            <w:color w:val="0000EE"/>
            <w:u w:val="single"/>
          </w:rPr>
          <w:t>7</w:t>
        </w:r>
      </w:hyperlink>
      <w:r>
        <w:rPr>
          <w:lang w:val="pt_PT" w:bidi="pt_PT"/>
        </w:rPr>
        <w:t xml:space="preserve">, enquanto </w:t>
      </w:r>
      <w:hyperlink r:id="rId97">
        <w:r>
          <w:rPr>
            <w:lang w:val="pt_PT" w:bidi="pt_PT"/>
          </w:rPr>
          <w:rPr>
            <w:color w:val="0000EE"/>
            <w:u w:val="single"/>
          </w:rPr>
          <w:t>4.7–23</w:t>
        </w:r>
      </w:hyperlink>
      <w:r>
        <w:rPr>
          <w:lang w:val="pt_PT" w:bidi="pt_PT"/>
        </w:rPr>
        <w:t xml:space="preserve"> se encaixa antes de </w:t>
      </w:r>
      <w:hyperlink r:id="rId98">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99">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0">
        <w:r>
          <w:rPr>
            <w:lang w:val="pt_PT" w:bidi="pt_PT"/>
          </w:rPr>
          <w:rPr>
            <w:color w:val="0000EE"/>
            <w:u w:val="single"/>
          </w:rPr>
          <w:t>4.20</w:t>
        </w:r>
      </w:hyperlink>
      <w:r>
        <w:rPr>
          <w:lang w:val="pt_PT" w:bidi="pt_PT"/>
        </w:rPr>
        <w:t xml:space="preserve">; cp. </w:t>
      </w:r>
      <w:hyperlink r:id="rId101">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2">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3">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4">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5">
        <w:r>
          <w:rPr>
            <w:lang w:val="pt_PT" w:bidi="pt_PT"/>
          </w:rPr>
          <w:rPr>
            <w:color w:val="0000EE"/>
            <w:u w:val="single"/>
          </w:rPr>
          <w:t>Ne 1.3</w:t>
        </w:r>
      </w:hyperlink>
      <w:r>
        <w:rPr>
          <w:lang w:val="pt_PT" w:bidi="pt_PT"/>
        </w:rPr>
        <w:t xml:space="preserve">). • Este versículo encerra a seção entre parênteses que começou em </w:t>
      </w:r>
      <w:hyperlink r:id="rId94">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39">
        <w:r>
          <w:rPr>
            <w:lang w:val="pt_PT" w:bidi="pt_PT"/>
          </w:rPr>
          <w:rPr>
            <w:color w:val="0000EE"/>
            <w:u w:val="single"/>
          </w:rPr>
          <w:t>Ag 1.1</w:t>
        </w:r>
      </w:hyperlink>
      <w:r>
        <w:rPr>
          <w:lang w:val="pt_PT" w:bidi="pt_PT"/>
        </w:rPr>
        <w:t>). Zacarias começou a profetizar cerca de dois meses depois (</w:t>
      </w:r>
      <w:hyperlink r:id="rId107">
        <w:r>
          <w:rPr>
            <w:lang w:val="pt_PT" w:bidi="pt_PT"/>
          </w:rPr>
          <w:rPr>
            <w:color w:val="0000EE"/>
            <w:u w:val="single"/>
          </w:rPr>
          <w:t>Zc 1.1</w:t>
        </w:r>
      </w:hyperlink>
      <w:r>
        <w:rPr>
          <w:lang w:val="pt_PT" w:bidi="pt_PT"/>
        </w:rPr>
        <w:t xml:space="preserve">). Os livros de Ageu e Zacarias registram suas mensagens (veja também </w:t>
      </w:r>
      <w:hyperlink r:id="rId108">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39">
        <w:r>
          <w:rPr>
            <w:lang w:val="pt_PT" w:bidi="pt_PT"/>
          </w:rPr>
          <w:rPr>
            <w:color w:val="0000EE"/>
            <w:u w:val="single"/>
          </w:rPr>
          <w:t>Ag 1.1</w:t>
        </w:r>
      </w:hyperlink>
      <w:r>
        <w:rPr>
          <w:lang w:val="pt_PT" w:bidi="pt_PT"/>
        </w:rPr>
        <w:t>,</w:t>
      </w:r>
      <w:hyperlink r:id="rId109">
        <w:r>
          <w:rPr>
            <w:lang w:val="pt_PT" w:bidi="pt_PT"/>
          </w:rPr>
          <w:rPr>
            <w:color w:val="0000EE"/>
            <w:u w:val="single"/>
          </w:rPr>
          <w:t>12</w:t>
        </w:r>
      </w:hyperlink>
      <w:r>
        <w:rPr>
          <w:lang w:val="pt_PT" w:bidi="pt_PT"/>
        </w:rPr>
        <w:t>). Agora o Espírito de Deus os despertou (</w:t>
      </w:r>
      <w:hyperlink r:id="rId110">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1">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3">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4">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5">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6">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7">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19">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2">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1">
        <w:r>
          <w:rPr>
            <w:lang w:val="pt_PT" w:bidi="pt_PT"/>
          </w:rPr>
          <w:rPr>
            <w:color w:val="0000EE"/>
            <w:u w:val="single"/>
          </w:rPr>
          <w:t>1Rs 6.2</w:t>
        </w:r>
      </w:hyperlink>
      <w:r>
        <w:rPr>
          <w:lang w:val="pt_PT" w:bidi="pt_PT"/>
        </w:rPr>
        <w:t>,</w:t>
      </w:r>
      <w:hyperlink r:id="rId122">
        <w:r>
          <w:rPr>
            <w:lang w:val="pt_PT" w:bidi="pt_PT"/>
          </w:rPr>
          <w:rPr>
            <w:color w:val="0000EE"/>
            <w:u w:val="single"/>
          </w:rPr>
          <w:t>17</w:t>
        </w:r>
      </w:hyperlink>
      <w:r>
        <w:rPr>
          <w:lang w:val="pt_PT" w:bidi="pt_PT"/>
        </w:rPr>
        <w:t>,</w:t>
      </w:r>
      <w:hyperlink r:id="rId123">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4">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5">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6">
        <w:r>
          <w:rPr>
            <w:lang w:val="pt_PT" w:bidi="pt_PT"/>
          </w:rPr>
          <w:rPr>
            <w:color w:val="0000EE"/>
            <w:u w:val="single"/>
          </w:rPr>
          <w:t>Lv 4–5</w:t>
        </w:r>
      </w:hyperlink>
      <w:r>
        <w:rPr>
          <w:lang w:val="pt_PT" w:bidi="pt_PT"/>
        </w:rPr>
        <w:t>). Sacrifícios semelhantes foram oferecidos quando Moisés dedicou o Tabernáculo (</w:t>
      </w:r>
      <w:hyperlink r:id="rId127">
        <w:r>
          <w:rPr>
            <w:lang w:val="pt_PT" w:bidi="pt_PT"/>
          </w:rPr>
          <w:rPr>
            <w:color w:val="0000EE"/>
            <w:u w:val="single"/>
          </w:rPr>
          <w:t>Nm 7</w:t>
        </w:r>
      </w:hyperlink>
      <w:r>
        <w:rPr>
          <w:lang w:val="pt_PT" w:bidi="pt_PT"/>
        </w:rPr>
        <w:t>) e quando Salomão dedicou o primeiro Templo (</w:t>
      </w:r>
      <w:hyperlink r:id="rId128">
        <w:r>
          <w:rPr>
            <w:lang w:val="pt_PT" w:bidi="pt_PT"/>
          </w:rPr>
          <w:rPr>
            <w:color w:val="0000EE"/>
            <w:u w:val="single"/>
          </w:rPr>
          <w:t>2Cr 7.1</w:t>
        </w:r>
      </w:hyperlink>
      <w:r>
        <w:rPr>
          <w:lang w:val="pt_PT" w:bidi="pt_PT"/>
        </w:rPr>
        <w:t>,</w:t>
      </w:r>
      <w:hyperlink r:id="rId129">
        <w:r>
          <w:rPr>
            <w:lang w:val="pt_PT" w:bidi="pt_PT"/>
          </w:rPr>
          <w:rPr>
            <w:color w:val="0000EE"/>
            <w:u w:val="single"/>
          </w:rPr>
          <w:t>4</w:t>
        </w:r>
      </w:hyperlink>
      <w:r>
        <w:rPr>
          <w:lang w:val="pt_PT" w:bidi="pt_PT"/>
        </w:rPr>
        <w:t>). • para as doze tribos de Israel: Embora a maioria dos que retornaram fosse de Judá e Benjamim (</w:t>
      </w:r>
      <w:hyperlink r:id="rId89">
        <w:r>
          <w:rPr>
            <w:lang w:val="pt_PT" w:bidi="pt_PT"/>
          </w:rPr>
          <w:rPr>
            <w:color w:val="0000EE"/>
            <w:u w:val="single"/>
          </w:rPr>
          <w:t>Ed 1.5</w:t>
        </w:r>
      </w:hyperlink>
      <w:r>
        <w:rPr>
          <w:lang w:val="pt_PT" w:bidi="pt_PT"/>
        </w:rPr>
        <w:t xml:space="preserve">; </w:t>
      </w:r>
      <w:hyperlink r:id="rId130">
        <w:r>
          <w:rPr>
            <w:lang w:val="pt_PT" w:bidi="pt_PT"/>
          </w:rPr>
          <w:rPr>
            <w:color w:val="0000EE"/>
            <w:u w:val="single"/>
          </w:rPr>
          <w:t>4.1</w:t>
        </w:r>
      </w:hyperlink>
      <w:r>
        <w:rPr>
          <w:lang w:val="pt_PT" w:bidi="pt_PT"/>
        </w:rPr>
        <w:t>), pessoas da tribo sacerdotal de Levi também são mencionadas (</w:t>
      </w:r>
      <w:hyperlink r:id="rId89">
        <w:r>
          <w:rPr>
            <w:lang w:val="pt_PT" w:bidi="pt_PT"/>
          </w:rPr>
          <w:rPr>
            <w:color w:val="0000EE"/>
            <w:u w:val="single"/>
          </w:rPr>
          <w:t>1.5</w:t>
        </w:r>
      </w:hyperlink>
      <w:r>
        <w:rPr>
          <w:lang w:val="pt_PT" w:bidi="pt_PT"/>
        </w:rPr>
        <w:t xml:space="preserve">; </w:t>
      </w:r>
      <w:hyperlink r:id="rId131">
        <w:r>
          <w:rPr>
            <w:lang w:val="pt_PT" w:bidi="pt_PT"/>
          </w:rPr>
          <w:rPr>
            <w:color w:val="0000EE"/>
            <w:u w:val="single"/>
          </w:rPr>
          <w:t>2.40</w:t>
        </w:r>
      </w:hyperlink>
      <w:r>
        <w:rPr>
          <w:lang w:val="pt_PT" w:bidi="pt_PT"/>
        </w:rPr>
        <w:t>,</w:t>
      </w:r>
      <w:hyperlink r:id="rId132">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3">
        <w:r>
          <w:rPr>
            <w:lang w:val="pt_PT" w:bidi="pt_PT"/>
          </w:rPr>
          <w:rPr>
            <w:color w:val="0000EE"/>
            <w:u w:val="single"/>
          </w:rPr>
          <w:t>Êxodo 29</w:t>
        </w:r>
      </w:hyperlink>
      <w:r>
        <w:rPr>
          <w:lang w:val="pt_PT" w:bidi="pt_PT"/>
        </w:rPr>
        <w:t xml:space="preserve">; </w:t>
      </w:r>
      <w:hyperlink r:id="rId134">
        <w:r>
          <w:rPr>
            <w:lang w:val="pt_PT" w:bidi="pt_PT"/>
          </w:rPr>
          <w:rPr>
            <w:color w:val="0000EE"/>
            <w:u w:val="single"/>
          </w:rPr>
          <w:t>Levítico 8</w:t>
        </w:r>
      </w:hyperlink>
      <w:r>
        <w:rPr>
          <w:lang w:val="pt_PT" w:bidi="pt_PT"/>
        </w:rPr>
        <w:t xml:space="preserve">; </w:t>
      </w:r>
      <w:hyperlink r:id="rId135">
        <w:r>
          <w:rPr>
            <w:lang w:val="pt_PT" w:bidi="pt_PT"/>
          </w:rPr>
          <w:rPr>
            <w:color w:val="0000EE"/>
            <w:u w:val="single"/>
          </w:rPr>
          <w:t>Números 3</w:t>
        </w:r>
      </w:hyperlink>
      <w:r>
        <w:rPr>
          <w:lang w:val="pt_PT" w:bidi="pt_PT"/>
        </w:rPr>
        <w:t>. O pessoal do Templo operava de acordo com a organização instituída por Davi (</w:t>
      </w:r>
      <w:hyperlink r:id="rId136">
        <w:r>
          <w:rPr>
            <w:lang w:val="pt_PT" w:bidi="pt_PT"/>
          </w:rPr>
          <w:rPr>
            <w:color w:val="0000EE"/>
            <w:u w:val="single"/>
          </w:rPr>
          <w:t>1Cr 23–27</w:t>
        </w:r>
      </w:hyperlink>
      <w:r>
        <w:rPr>
          <w:lang w:val="pt_PT" w:bidi="pt_PT"/>
        </w:rPr>
        <w:t xml:space="preserve">). • Este versículo conclui a seção em aramaico que começou em </w:t>
      </w:r>
      <w:hyperlink r:id="rId137">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38">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39">
        <w:r>
          <w:rPr>
            <w:lang w:val="pt_PT" w:bidi="pt_PT"/>
          </w:rPr>
          <w:rPr>
            <w:color w:val="0000EE"/>
            <w:u w:val="single"/>
          </w:rPr>
          <w:t>Lv 9</w:t>
        </w:r>
      </w:hyperlink>
      <w:r>
        <w:rPr>
          <w:lang w:val="pt_PT" w:bidi="pt_PT"/>
        </w:rPr>
        <w:t xml:space="preserve">; </w:t>
      </w:r>
      <w:hyperlink r:id="rId140">
        <w:r>
          <w:rPr>
            <w:lang w:val="pt_PT" w:bidi="pt_PT"/>
          </w:rPr>
          <w:rPr>
            <w:color w:val="0000EE"/>
            <w:u w:val="single"/>
          </w:rPr>
          <w:t>Nm 8</w:t>
        </w:r>
      </w:hyperlink>
      <w:r>
        <w:rPr>
          <w:lang w:val="pt_PT" w:bidi="pt_PT"/>
        </w:rPr>
        <w:t xml:space="preserve">; </w:t>
      </w:r>
      <w:hyperlink r:id="rId141">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7">
        <w:r>
          <w:rPr>
            <w:lang w:val="pt_PT" w:bidi="pt_PT"/>
          </w:rPr>
          <w:rPr>
            <w:color w:val="0000EE"/>
            <w:u w:val="single"/>
          </w:rPr>
          <w:t>4.1–5</w:t>
        </w:r>
      </w:hyperlink>
      <w:r>
        <w:rPr>
          <w:lang w:val="pt_PT" w:bidi="pt_PT"/>
        </w:rPr>
        <w:t xml:space="preserve"> foi devido às suas práticas religiosas pagãs, não à sua etnia (veja também </w:t>
      </w:r>
      <w:hyperlink r:id="rId1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3">
        <w:r>
          <w:rPr>
            <w:lang w:val="pt_PT" w:bidi="pt_PT"/>
          </w:rPr>
          <w:rPr>
            <w:color w:val="0000EE"/>
            <w:u w:val="single"/>
          </w:rPr>
          <w:t>Êx 12.15–20</w:t>
        </w:r>
      </w:hyperlink>
      <w:r>
        <w:rPr>
          <w:lang w:val="pt_PT" w:bidi="pt_PT"/>
        </w:rPr>
        <w:t xml:space="preserve">; </w:t>
      </w:r>
      <w:hyperlink r:id="rId144">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5">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6">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7">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48">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49">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0">
        <w:r>
          <w:rPr>
            <w:lang w:val="pt_PT" w:bidi="pt_PT"/>
          </w:rPr>
          <w:rPr>
            <w:color w:val="0000EE"/>
            <w:u w:val="single"/>
          </w:rPr>
          <w:t>7.6</w:t>
        </w:r>
      </w:hyperlink>
      <w:r>
        <w:rPr>
          <w:lang w:val="pt_PT" w:bidi="pt_PT"/>
        </w:rPr>
        <w:t>,</w:t>
      </w:r>
      <w:hyperlink r:id="rId151">
        <w:r>
          <w:rPr>
            <w:lang w:val="pt_PT" w:bidi="pt_PT"/>
          </w:rPr>
          <w:rPr>
            <w:color w:val="0000EE"/>
            <w:u w:val="single"/>
          </w:rPr>
          <w:t>28</w:t>
        </w:r>
      </w:hyperlink>
      <w:r>
        <w:rPr>
          <w:lang w:val="pt_PT" w:bidi="pt_PT"/>
        </w:rPr>
        <w:t xml:space="preserve">; </w:t>
      </w:r>
      <w:hyperlink r:id="rId152">
        <w:r>
          <w:rPr>
            <w:lang w:val="pt_PT" w:bidi="pt_PT"/>
          </w:rPr>
          <w:rPr>
            <w:color w:val="0000EE"/>
            <w:u w:val="single"/>
          </w:rPr>
          <w:t>8.22</w:t>
        </w:r>
      </w:hyperlink>
      <w:r>
        <w:rPr>
          <w:lang w:val="pt_PT" w:bidi="pt_PT"/>
        </w:rPr>
        <w:t>,</w:t>
      </w:r>
      <w:hyperlink r:id="rId1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3">
        <w:r>
          <w:rPr>
            <w:lang w:val="pt_PT" w:bidi="pt_PT"/>
          </w:rPr>
          <w:rPr>
            <w:color w:val="0000EE"/>
            <w:u w:val="single"/>
          </w:rPr>
          <w:t>7.14</w:t>
        </w:r>
      </w:hyperlink>
      <w:r>
        <w:rPr>
          <w:lang w:val="pt_PT" w:bidi="pt_PT"/>
        </w:rPr>
        <w:t>), apresentar ofertas voluntárias a Deus (</w:t>
      </w:r>
      <w:hyperlink r:id="rId154">
        <w:r>
          <w:rPr>
            <w:lang w:val="pt_PT" w:bidi="pt_PT"/>
          </w:rPr>
          <w:rPr>
            <w:color w:val="0000EE"/>
            <w:u w:val="single"/>
          </w:rPr>
          <w:t>7.15–20</w:t>
        </w:r>
      </w:hyperlink>
      <w:r>
        <w:rPr>
          <w:lang w:val="pt_PT" w:bidi="pt_PT"/>
        </w:rPr>
        <w:t>), obter suprimentos e finanças das autoridades locais (</w:t>
      </w:r>
      <w:hyperlink r:id="rId155">
        <w:r>
          <w:rPr>
            <w:lang w:val="pt_PT" w:bidi="pt_PT"/>
          </w:rPr>
          <w:rPr>
            <w:color w:val="0000EE"/>
            <w:u w:val="single"/>
          </w:rPr>
          <w:t>7.21–24</w:t>
        </w:r>
      </w:hyperlink>
      <w:r>
        <w:rPr>
          <w:lang w:val="pt_PT" w:bidi="pt_PT"/>
        </w:rPr>
        <w:t>), e instituir reformas judiciais (</w:t>
      </w:r>
      <w:hyperlink r:id="rId156">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7">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58">
        <w:r>
          <w:rPr>
            <w:lang w:val="pt_PT" w:bidi="pt_PT"/>
          </w:rPr>
          <w:rPr>
            <w:color w:val="0000EE"/>
            <w:u w:val="single"/>
          </w:rPr>
          <w:t>7.10</w:t>
        </w:r>
      </w:hyperlink>
      <w:r>
        <w:rPr>
          <w:lang w:val="pt_PT" w:bidi="pt_PT"/>
        </w:rPr>
        <w:t>), sugerindo que um persa escreveu esta carta (</w:t>
      </w:r>
      <w:hyperlink r:id="rId159">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0">
        <w:r>
          <w:rPr>
            <w:lang w:val="pt_PT" w:bidi="pt_PT"/>
          </w:rPr>
          <w:rPr>
            <w:color w:val="0000EE"/>
            <w:u w:val="single"/>
          </w:rPr>
          <w:t>1Rs 8.27</w:t>
        </w:r>
      </w:hyperlink>
      <w:r>
        <w:rPr>
          <w:lang w:val="pt_PT" w:bidi="pt_PT"/>
        </w:rPr>
        <w:t xml:space="preserve">; </w:t>
      </w:r>
      <w:hyperlink r:id="rId161">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2">
        <w:r>
          <w:rPr>
            <w:lang w:val="pt_PT" w:bidi="pt_PT"/>
          </w:rPr>
          <w:rPr>
            <w:color w:val="0000EE"/>
            <w:u w:val="single"/>
          </w:rPr>
          <w:t>1.4</w:t>
        </w:r>
      </w:hyperlink>
      <w:r>
        <w:rPr>
          <w:lang w:val="pt_PT" w:bidi="pt_PT"/>
        </w:rPr>
        <w:t>,</w:t>
      </w:r>
      <w:hyperlink r:id="rId62">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3">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4">
        <w:r>
          <w:rPr>
            <w:lang w:val="pt_PT" w:bidi="pt_PT"/>
          </w:rPr>
          <w:rPr>
            <w:color w:val="0000EE"/>
            <w:u w:val="single"/>
          </w:rPr>
          <w:t>Êx 27.20</w:t>
        </w:r>
      </w:hyperlink>
      <w:r>
        <w:rPr>
          <w:lang w:val="pt_PT" w:bidi="pt_PT"/>
        </w:rPr>
        <w:t xml:space="preserve">; </w:t>
      </w:r>
      <w:hyperlink r:id="rId165">
        <w:r>
          <w:rPr>
            <w:lang w:val="pt_PT" w:bidi="pt_PT"/>
          </w:rPr>
          <w:rPr>
            <w:color w:val="0000EE"/>
            <w:u w:val="single"/>
          </w:rPr>
          <w:t>29.2</w:t>
        </w:r>
      </w:hyperlink>
      <w:r>
        <w:rPr>
          <w:lang w:val="pt_PT" w:bidi="pt_PT"/>
        </w:rPr>
        <w:t xml:space="preserve">; </w:t>
      </w:r>
      <w:hyperlink r:id="rId166">
        <w:r>
          <w:rPr>
            <w:lang w:val="pt_PT" w:bidi="pt_PT"/>
          </w:rPr>
          <w:rPr>
            <w:color w:val="0000EE"/>
            <w:u w:val="single"/>
          </w:rPr>
          <w:t>Lv 2.4</w:t>
        </w:r>
      </w:hyperlink>
      <w:r>
        <w:rPr>
          <w:lang w:val="pt_PT" w:bidi="pt_PT"/>
        </w:rPr>
        <w:t>,</w:t>
      </w:r>
      <w:hyperlink r:id="rId167">
        <w:r>
          <w:rPr>
            <w:lang w:val="pt_PT" w:bidi="pt_PT"/>
          </w:rPr>
          <w:rPr>
            <w:color w:val="0000EE"/>
            <w:u w:val="single"/>
          </w:rPr>
          <w:t>13</w:t>
        </w:r>
      </w:hyperlink>
      <w:r>
        <w:rPr>
          <w:lang w:val="pt_PT" w:bidi="pt_PT"/>
        </w:rPr>
        <w:t xml:space="preserve">; </w:t>
      </w:r>
      <w:hyperlink r:id="rId168">
        <w:r>
          <w:rPr>
            <w:lang w:val="pt_PT" w:bidi="pt_PT"/>
          </w:rPr>
          <w:rPr>
            <w:color w:val="0000EE"/>
            <w:u w:val="single"/>
          </w:rPr>
          <w:t>14.10</w:t>
        </w:r>
      </w:hyperlink>
      <w:r>
        <w:rPr>
          <w:lang w:val="pt_PT" w:bidi="pt_PT"/>
        </w:rPr>
        <w:t xml:space="preserve">; </w:t>
      </w:r>
      <w:hyperlink r:id="rId169">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0">
        <w:r>
          <w:rPr>
            <w:lang w:val="pt_PT" w:bidi="pt_PT"/>
          </w:rPr>
          <w:rPr>
            <w:color w:val="0000EE"/>
            <w:u w:val="single"/>
          </w:rPr>
          <w:t>5.11–12</w:t>
        </w:r>
      </w:hyperlink>
      <w:r>
        <w:rPr>
          <w:lang w:val="pt_PT" w:bidi="pt_PT"/>
        </w:rPr>
        <w:t>) e que Ciro havia usado (</w:t>
      </w:r>
      <w:hyperlink r:id="rId171">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2">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1">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3">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4">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5">
        <w:r>
          <w:rPr>
            <w:lang w:val="pt_PT" w:bidi="pt_PT"/>
          </w:rPr>
          <w:rPr>
            <w:color w:val="0000EE"/>
            <w:u w:val="single"/>
          </w:rPr>
          <w:t>1Rs 21.9</w:t>
        </w:r>
      </w:hyperlink>
      <w:r>
        <w:rPr>
          <w:lang w:val="pt_PT" w:bidi="pt_PT"/>
        </w:rPr>
        <w:t xml:space="preserve">; </w:t>
      </w:r>
      <w:hyperlink r:id="rId176">
        <w:r>
          <w:rPr>
            <w:lang w:val="pt_PT" w:bidi="pt_PT"/>
          </w:rPr>
          <w:rPr>
            <w:color w:val="0000EE"/>
            <w:u w:val="single"/>
          </w:rPr>
          <w:t>2Cr 20.3</w:t>
        </w:r>
      </w:hyperlink>
      <w:r>
        <w:rPr>
          <w:lang w:val="pt_PT" w:bidi="pt_PT"/>
        </w:rPr>
        <w:t xml:space="preserve">; </w:t>
      </w:r>
      <w:hyperlink r:id="rId177">
        <w:r>
          <w:rPr>
            <w:lang w:val="pt_PT" w:bidi="pt_PT"/>
          </w:rPr>
          <w:rPr>
            <w:color w:val="0000EE"/>
            <w:u w:val="single"/>
          </w:rPr>
          <w:t>Ne 1.4</w:t>
        </w:r>
      </w:hyperlink>
      <w:r>
        <w:rPr>
          <w:lang w:val="pt_PT" w:bidi="pt_PT"/>
        </w:rPr>
        <w:t xml:space="preserve">; </w:t>
      </w:r>
      <w:hyperlink r:id="rId178">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79">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1">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0">
        <w:r>
          <w:rPr>
            <w:lang w:val="pt_PT" w:bidi="pt_PT"/>
          </w:rPr>
          <w:rPr>
            <w:color w:val="0000EE"/>
            <w:u w:val="single"/>
          </w:rPr>
          <w:t>7.9</w:t>
        </w:r>
      </w:hyperlink>
      <w:r>
        <w:rPr>
          <w:lang w:val="pt_PT" w:bidi="pt_PT"/>
        </w:rPr>
        <w:t xml:space="preserve">; </w:t>
      </w:r>
      <w:hyperlink r:id="rId182">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7">
        <w:r>
          <w:rPr>
            <w:lang w:val="pt_PT" w:bidi="pt_PT"/>
          </w:rPr>
          <w:rPr>
            <w:color w:val="0000EE"/>
            <w:u w:val="single"/>
          </w:rPr>
          <w:t>Ed 4.1–5</w:t>
        </w:r>
      </w:hyperlink>
      <w:r>
        <w:rPr>
          <w:lang w:val="pt_PT" w:bidi="pt_PT"/>
        </w:rPr>
        <w:t xml:space="preserve">; </w:t>
      </w:r>
      <w:hyperlink r:id="rId183">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4">
        <w:r>
          <w:rPr>
            <w:lang w:val="pt_PT" w:bidi="pt_PT"/>
          </w:rPr>
          <w:rPr>
            <w:color w:val="0000EE"/>
            <w:u w:val="single"/>
          </w:rPr>
          <w:t>Êx 19.6</w:t>
        </w:r>
      </w:hyperlink>
      <w:r>
        <w:rPr>
          <w:lang w:val="pt_PT" w:bidi="pt_PT"/>
        </w:rPr>
        <w:t>), não deveria se envolver com práticas pagãs (</w:t>
      </w:r>
      <w:hyperlink r:id="rId185">
        <w:r>
          <w:rPr>
            <w:lang w:val="pt_PT" w:bidi="pt_PT"/>
          </w:rPr>
          <w:rPr>
            <w:color w:val="0000EE"/>
            <w:u w:val="single"/>
          </w:rPr>
          <w:t>Lv 19.2–4</w:t>
        </w:r>
      </w:hyperlink>
      <w:r>
        <w:rPr>
          <w:lang w:val="pt_PT" w:bidi="pt_PT"/>
        </w:rPr>
        <w:t xml:space="preserve">; </w:t>
      </w:r>
      <w:hyperlink r:id="rId186">
        <w:r>
          <w:rPr>
            <w:lang w:val="pt_PT" w:bidi="pt_PT"/>
          </w:rPr>
          <w:rPr>
            <w:color w:val="0000EE"/>
            <w:u w:val="single"/>
          </w:rPr>
          <w:t>20.6–8</w:t>
        </w:r>
      </w:hyperlink>
      <w:r>
        <w:rPr>
          <w:lang w:val="pt_PT" w:bidi="pt_PT"/>
        </w:rPr>
        <w:t xml:space="preserve">, </w:t>
      </w:r>
      <w:hyperlink r:id="rId187">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7">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88">
        <w:r>
          <w:rPr>
            <w:lang w:val="pt_PT" w:bidi="pt_PT"/>
          </w:rPr>
          <w:rPr>
            <w:color w:val="0000EE"/>
            <w:u w:val="single"/>
          </w:rPr>
          <w:t>Gn 37.34</w:t>
        </w:r>
      </w:hyperlink>
      <w:r>
        <w:rPr>
          <w:lang w:val="pt_PT" w:bidi="pt_PT"/>
        </w:rPr>
        <w:t xml:space="preserve">; </w:t>
      </w:r>
      <w:hyperlink r:id="rId189">
        <w:r>
          <w:rPr>
            <w:lang w:val="pt_PT" w:bidi="pt_PT"/>
          </w:rPr>
          <w:rPr>
            <w:color w:val="0000EE"/>
            <w:u w:val="single"/>
          </w:rPr>
          <w:t>2Rs 22.11</w:t>
        </w:r>
      </w:hyperlink>
      <w:r>
        <w:rPr>
          <w:lang w:val="pt_PT" w:bidi="pt_PT"/>
        </w:rPr>
        <w:t xml:space="preserve">; </w:t>
      </w:r>
      <w:hyperlink r:id="rId190">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1">
        <w:r>
          <w:rPr>
            <w:lang w:val="pt_PT" w:bidi="pt_PT"/>
          </w:rPr>
          <w:rPr>
            <w:color w:val="0000EE"/>
            <w:u w:val="single"/>
          </w:rPr>
          <w:t>Ne 1.5–11</w:t>
        </w:r>
      </w:hyperlink>
      <w:r>
        <w:rPr>
          <w:lang w:val="pt_PT" w:bidi="pt_PT"/>
        </w:rPr>
        <w:t xml:space="preserve">; </w:t>
      </w:r>
      <w:hyperlink r:id="rId192">
        <w:r>
          <w:rPr>
            <w:lang w:val="pt_PT" w:bidi="pt_PT"/>
          </w:rPr>
          <w:rPr>
            <w:color w:val="0000EE"/>
            <w:u w:val="single"/>
          </w:rPr>
          <w:t>Dn 9.4–19</w:t>
        </w:r>
      </w:hyperlink>
      <w:r>
        <w:rPr>
          <w:lang w:val="pt_PT" w:bidi="pt_PT"/>
        </w:rPr>
        <w:t>). Inclui confessar o pecado (</w:t>
      </w:r>
      <w:hyperlink r:id="rId193">
        <w:r>
          <w:rPr>
            <w:lang w:val="pt_PT" w:bidi="pt_PT"/>
          </w:rPr>
          <w:rPr>
            <w:color w:val="0000EE"/>
            <w:u w:val="single"/>
          </w:rPr>
          <w:t>Esdras 9.6–7</w:t>
        </w:r>
      </w:hyperlink>
      <w:r>
        <w:rPr>
          <w:lang w:val="pt_PT" w:bidi="pt_PT"/>
        </w:rPr>
        <w:t>), lembrar da graça passada de Deus (</w:t>
      </w:r>
      <w:hyperlink r:id="rId194">
        <w:r>
          <w:rPr>
            <w:lang w:val="pt_PT" w:bidi="pt_PT"/>
          </w:rPr>
          <w:rPr>
            <w:color w:val="0000EE"/>
            <w:u w:val="single"/>
          </w:rPr>
          <w:t>9.8–9</w:t>
        </w:r>
      </w:hyperlink>
      <w:r>
        <w:rPr>
          <w:lang w:val="pt_PT" w:bidi="pt_PT"/>
        </w:rPr>
        <w:t>), admitir que o povo ignorou Deus (</w:t>
      </w:r>
      <w:hyperlink r:id="rId195">
        <w:r>
          <w:rPr>
            <w:lang w:val="pt_PT" w:bidi="pt_PT"/>
          </w:rPr>
          <w:rPr>
            <w:color w:val="0000EE"/>
            <w:u w:val="single"/>
          </w:rPr>
          <w:t>9.10–12</w:t>
        </w:r>
      </w:hyperlink>
      <w:r>
        <w:rPr>
          <w:lang w:val="pt_PT" w:bidi="pt_PT"/>
        </w:rPr>
        <w:t>) e reconhecer sua indignidade (</w:t>
      </w:r>
      <w:hyperlink r:id="rId196">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7">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198">
        <w:r>
          <w:rPr>
            <w:lang w:val="pt_PT" w:bidi="pt_PT"/>
          </w:rPr>
          <w:rPr>
            <w:color w:val="0000EE"/>
            <w:u w:val="single"/>
          </w:rPr>
          <w:t>2Rs 17</w:t>
        </w:r>
      </w:hyperlink>
      <w:r>
        <w:rPr>
          <w:lang w:val="pt_PT" w:bidi="pt_PT"/>
        </w:rPr>
        <w:t xml:space="preserve">; </w:t>
      </w:r>
      <w:hyperlink r:id="rId199">
        <w:r>
          <w:rPr>
            <w:lang w:val="pt_PT" w:bidi="pt_PT"/>
          </w:rPr>
          <w:rPr>
            <w:color w:val="0000EE"/>
            <w:u w:val="single"/>
          </w:rPr>
          <w:t>25</w:t>
        </w:r>
      </w:hyperlink>
      <w:r>
        <w:rPr>
          <w:lang w:val="pt_PT" w:bidi="pt_PT"/>
        </w:rPr>
        <w:t xml:space="preserve">), mas a Pérsia tratou os exilados com bondade e os devolveu às suas terras natais (veja </w:t>
      </w:r>
      <w:hyperlink r:id="rId200">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1">
        <w:r>
          <w:rPr>
            <w:lang w:val="pt_PT" w:bidi="pt_PT"/>
          </w:rPr>
          <w:rPr>
            <w:color w:val="0000EE"/>
            <w:u w:val="single"/>
          </w:rPr>
          <w:t>Dt 7.3–4</w:t>
        </w:r>
      </w:hyperlink>
      <w:r>
        <w:rPr>
          <w:lang w:val="pt_PT" w:bidi="pt_PT"/>
        </w:rPr>
        <w:t xml:space="preserve">; </w:t>
      </w:r>
      <w:hyperlink r:id="rId202">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3">
        <w:r>
          <w:rPr>
            <w:lang w:val="pt_PT" w:bidi="pt_PT"/>
          </w:rPr>
          <w:rPr>
            <w:color w:val="0000EE"/>
            <w:u w:val="single"/>
          </w:rPr>
          <w:t>Lv 26.1–13</w:t>
        </w:r>
      </w:hyperlink>
      <w:r>
        <w:rPr>
          <w:lang w:val="pt_PT" w:bidi="pt_PT"/>
        </w:rPr>
        <w:t xml:space="preserve">; </w:t>
      </w:r>
      <w:hyperlink r:id="rId204">
        <w:r>
          <w:rPr>
            <w:lang w:val="pt_PT" w:bidi="pt_PT"/>
          </w:rPr>
          <w:rPr>
            <w:color w:val="0000EE"/>
            <w:u w:val="single"/>
          </w:rPr>
          <w:t>Dt 28.1–14</w:t>
        </w:r>
      </w:hyperlink>
      <w:r>
        <w:rPr>
          <w:lang w:val="pt_PT" w:bidi="pt_PT"/>
        </w:rPr>
        <w:t xml:space="preserve">; </w:t>
      </w:r>
      <w:hyperlink r:id="rId205">
        <w:r>
          <w:rPr>
            <w:lang w:val="pt_PT" w:bidi="pt_PT"/>
          </w:rPr>
          <w:rPr>
            <w:color w:val="0000EE"/>
            <w:u w:val="single"/>
          </w:rPr>
          <w:t>Jr 32.36–33.18</w:t>
        </w:r>
      </w:hyperlink>
      <w:r>
        <w:rPr>
          <w:lang w:val="pt_PT" w:bidi="pt_PT"/>
        </w:rPr>
        <w:t xml:space="preserve">; </w:t>
      </w:r>
      <w:hyperlink r:id="rId206">
        <w:r>
          <w:rPr>
            <w:lang w:val="pt_PT" w:bidi="pt_PT"/>
          </w:rPr>
          <w:rPr>
            <w:color w:val="0000EE"/>
            <w:u w:val="single"/>
          </w:rPr>
          <w:t>Ez 37.15–28</w:t>
        </w:r>
      </w:hyperlink>
      <w:r>
        <w:rPr>
          <w:lang w:val="pt_PT" w:bidi="pt_PT"/>
        </w:rPr>
        <w:t xml:space="preserve">; </w:t>
      </w:r>
      <w:hyperlink r:id="rId207">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08">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58">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09">
        <w:r>
          <w:rPr>
            <w:lang w:val="pt_PT" w:bidi="pt_PT"/>
          </w:rPr>
          <w:rPr>
            <w:color w:val="0000EE"/>
            <w:u w:val="single"/>
          </w:rPr>
          <w:t>Rt 1.16–17</w:t>
        </w:r>
      </w:hyperlink>
      <w:r>
        <w:rPr>
          <w:lang w:val="pt_PT" w:bidi="pt_PT"/>
        </w:rPr>
        <w:t xml:space="preserve">; </w:t>
      </w:r>
      <w:hyperlink r:id="rId210">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