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 Filemom 1.1–3, Filemom 1.2, Filemom 1.3, Filemom 1.4–7, Filemom 1.5, Filemom 1.6, Filemom 1.8–9, Filemom 1.10, Filemom 1.11, Filemom 1.13–14, Filemom 1.15, Filemom 1.16, Filemom 1.18, Filemom 1.19, Filemom 1.20, Filemom 1.21, Filemom 1.22, Filemom 1.23, Filemom 1.23–25, Filemom 1.24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3">
        <w:r>
          <w:rPr>
            <w:lang w:val="pt_PT" w:bidi="pt_PT"/>
          </w:rPr>
          <w:rPr>
            <w:color w:val="0000EE"/>
            <w:u w:val="single"/>
          </w:rPr>
          <w:t>Ef 6.10–17</w:t>
        </w:r>
      </w:hyperlink>
      <w:r>
        <w:rPr>
          <w:lang w:val="pt_PT" w:bidi="pt_PT"/>
        </w:rPr>
        <w:t xml:space="preserve">). • Arquipo provavelmente era o filho de Filemom (também mencionado em </w:t>
      </w:r>
      <w:hyperlink r:id="rId14">
        <w:r>
          <w:rPr>
            <w:lang w:val="pt_PT" w:bidi="pt_PT"/>
          </w:rPr>
          <w:rPr>
            <w:color w:val="0000EE"/>
            <w:u w:val="single"/>
          </w:rPr>
          <w:t>Cl 4.17</w:t>
        </w:r>
      </w:hyperlink>
      <w:r>
        <w:rPr>
          <w:lang w:val="pt_PT" w:bidi="pt_PT"/>
        </w:rPr>
        <w:t xml:space="preserve">). • A igreja que se reúne em sua casa: os primeiros cristãos se reuniam em casas particulares (veja também </w:t>
      </w:r>
      <w:hyperlink r:id="rId15">
        <w:r>
          <w:rPr>
            <w:lang w:val="pt_PT" w:bidi="pt_PT"/>
          </w:rPr>
          <w:rPr>
            <w:color w:val="0000EE"/>
            <w:u w:val="single"/>
          </w:rPr>
          <w:t>Rm 16.5</w:t>
        </w:r>
      </w:hyperlink>
      <w:r>
        <w:rPr>
          <w:lang w:val="pt_PT" w:bidi="pt_PT"/>
        </w:rPr>
        <w:t xml:space="preserve">; </w:t>
      </w:r>
      <w:hyperlink r:id="rId16">
        <w:r>
          <w:rPr>
            <w:lang w:val="pt_PT" w:bidi="pt_PT"/>
          </w:rPr>
          <w:rPr>
            <w:color w:val="0000EE"/>
            <w:u w:val="single"/>
          </w:rPr>
          <w:t>1Co 16.19</w:t>
        </w:r>
      </w:hyperlink>
      <w:r>
        <w:rPr>
          <w:lang w:val="pt_PT" w:bidi="pt_PT"/>
        </w:rPr>
        <w:t xml:space="preserve">; </w:t>
      </w:r>
      <w:hyperlink r:id="rId17">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hyperlink r:id="rId18">
        <w:r>
          <w:rPr>
            <w:lang w:val="pt_PT" w:bidi="pt_PT"/>
          </w:rPr>
          <w:rPr>
            <w:color w:val="0000EE"/>
            <w:u w:val="single"/>
          </w:rPr>
          <w:t>1.2</w:t>
        </w:r>
      </w:hyperlink>
      <w:r>
        <w:rPr>
          <w:lang w:val="pt_PT" w:bidi="pt_PT"/>
        </w:rPr>
        <w:t xml:space="preserve">. • Graça e paz representam saudações tradicionais gregas e hebraicas, respectivamente; agora, são entendidas como dons de Deus (cap. </w:t>
      </w:r>
      <w:hyperlink r:id="rId19">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hyperlink r:id="rId20">
        <w:r>
          <w:rPr>
            <w:lang w:val="pt_PT" w:bidi="pt_PT"/>
          </w:rPr>
          <w:rPr>
            <w:color w:val="0000EE"/>
            <w:u w:val="single"/>
          </w:rPr>
          <w:t>Rm 1.8–12</w:t>
        </w:r>
      </w:hyperlink>
      <w:r>
        <w:rPr>
          <w:lang w:val="pt_PT" w:bidi="pt_PT"/>
        </w:rPr>
        <w:t xml:space="preserve">; </w:t>
      </w:r>
      <w:hyperlink r:id="rId21">
        <w:r>
          <w:rPr>
            <w:lang w:val="pt_PT" w:bidi="pt_PT"/>
          </w:rPr>
          <w:rPr>
            <w:color w:val="0000EE"/>
            <w:u w:val="single"/>
          </w:rPr>
          <w:t>1Co 1.4–9</w:t>
        </w:r>
      </w:hyperlink>
      <w:r>
        <w:rPr>
          <w:lang w:val="pt_PT" w:bidi="pt_PT"/>
        </w:rPr>
        <w:t xml:space="preserve">; </w:t>
      </w:r>
      <w:hyperlink r:id="rId22">
        <w:r>
          <w:rPr>
            <w:lang w:val="pt_PT" w:bidi="pt_PT"/>
          </w:rPr>
          <w:rPr>
            <w:color w:val="0000EE"/>
            <w:u w:val="single"/>
          </w:rPr>
          <w:t>2Co 1.3–11</w:t>
        </w:r>
      </w:hyperlink>
      <w:r>
        <w:rPr>
          <w:lang w:val="pt_PT" w:bidi="pt_PT"/>
        </w:rPr>
        <w:t xml:space="preserve">; contraste com </w:t>
      </w:r>
      <w:hyperlink r:id="rId23">
        <w:r>
          <w:rPr>
            <w:lang w:val="pt_PT" w:bidi="pt_PT"/>
          </w:rPr>
          <w:rPr>
            <w:color w:val="0000EE"/>
            <w:u w:val="single"/>
          </w:rPr>
          <w:t>Gl 1.6–10</w:t>
        </w:r>
      </w:hyperlink>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hyperlink r:id="rId24">
        <w:r>
          <w:rPr>
            <w:lang w:val="pt_PT" w:bidi="pt_PT"/>
          </w:rPr>
          <w:rPr>
            <w:color w:val="0000EE"/>
            <w:u w:val="single"/>
          </w:rPr>
          <w:t>1.10</w:t>
        </w:r>
      </w:hyperlink>
      <w:r>
        <w:rPr>
          <w:lang w:val="pt_PT" w:bidi="pt_PT"/>
        </w:rPr>
        <w:t>,</w:t>
      </w:r>
      <w:hyperlink r:id="rId25">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hyperlink r:id="rId26">
        <w:r>
          <w:rPr>
            <w:lang w:val="pt_PT" w:bidi="pt_PT"/>
          </w:rPr>
          <w:rPr>
            <w:color w:val="0000EE"/>
            <w:u w:val="single"/>
          </w:rPr>
          <w:t>1.5–7</w:t>
        </w:r>
      </w:hyperlink>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hyperlink r:id="rId27">
        <w:r>
          <w:rPr>
            <w:lang w:val="pt_PT" w:bidi="pt_PT"/>
          </w:rPr>
          <w:rPr>
            <w:color w:val="0000EE"/>
            <w:u w:val="single"/>
          </w:rPr>
          <w:t>1.20</w:t>
        </w:r>
      </w:hyperlink>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hyperlink r:id="rId28">
        <w:r>
          <w:rPr>
            <w:lang w:val="pt_PT" w:bidi="pt_PT"/>
          </w:rPr>
          <w:rPr>
            <w:color w:val="0000EE"/>
            <w:u w:val="single"/>
          </w:rPr>
          <w:t>1.21</w:t>
        </w:r>
      </w:hyperlink>
      <w:r>
        <w:rPr>
          <w:lang w:val="pt_PT" w:bidi="pt_PT"/>
        </w:rPr>
        <w:t>). A vida cristã é uma resposta livre à graça de Deus (</w:t>
      </w:r>
      <w:hyperlink r:id="rId29">
        <w:r>
          <w:rPr>
            <w:lang w:val="pt_PT" w:bidi="pt_PT"/>
          </w:rPr>
          <w:rPr>
            <w:color w:val="0000EE"/>
            <w:u w:val="single"/>
          </w:rPr>
          <w:t>Rm 12.1</w:t>
        </w:r>
      </w:hyperlink>
      <w:r>
        <w:rPr>
          <w:lang w:val="pt_PT" w:bidi="pt_PT"/>
        </w:rPr>
        <w:t xml:space="preserve">; </w:t>
      </w:r>
      <w:hyperlink r:id="rId30">
        <w:r>
          <w:rPr>
            <w:lang w:val="pt_PT" w:bidi="pt_PT"/>
          </w:rPr>
          <w:rPr>
            <w:color w:val="0000EE"/>
            <w:u w:val="single"/>
          </w:rPr>
          <w:t>Ef 4.1</w:t>
        </w:r>
      </w:hyperlink>
      <w:r>
        <w:rPr>
          <w:lang w:val="pt_PT" w:bidi="pt_PT"/>
        </w:rPr>
        <w:t xml:space="preserve">; </w:t>
      </w:r>
      <w:hyperlink r:id="rId31">
        <w:r>
          <w:rPr>
            <w:lang w:val="pt_PT" w:bidi="pt_PT"/>
          </w:rPr>
          <w:rPr>
            <w:color w:val="0000EE"/>
            <w:u w:val="single"/>
          </w:rPr>
          <w:t>Cl 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2">
        <w:r>
          <w:rPr>
            <w:lang w:val="pt_PT" w:bidi="pt_PT"/>
          </w:rPr>
          <w:rPr>
            <w:color w:val="0000EE"/>
            <w:u w:val="single"/>
          </w:rPr>
          <w:t>Cl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hyperlink r:id="rId33">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hyperlink r:id="rId34">
        <w:r>
          <w:rPr>
            <w:lang w:val="pt_PT" w:bidi="pt_PT"/>
          </w:rPr>
          <w:rPr>
            <w:color w:val="0000EE"/>
            <w:u w:val="single"/>
          </w:rPr>
          <w:t>1.13–14</w:t>
        </w:r>
      </w:hyperlink>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hyperlink r:id="rId32">
        <w:r>
          <w:rPr>
            <w:lang w:val="pt_PT" w:bidi="pt_PT"/>
          </w:rPr>
          <w:rPr>
            <w:color w:val="0000EE"/>
            <w:u w:val="single"/>
          </w:rPr>
          <w:t>Cl 1.7</w:t>
        </w:r>
      </w:hyperlink>
      <w:r>
        <w:rPr>
          <w:lang w:val="pt_PT" w:bidi="pt_PT"/>
        </w:rPr>
        <w:t xml:space="preserve">; </w:t>
      </w:r>
      <w:hyperlink r:id="rId3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hyperlink r:id="rId36">
        <w:r>
          <w:rPr>
            <w:lang w:val="pt_PT" w:bidi="pt_PT"/>
          </w:rPr>
          <w:rPr>
            <w:color w:val="0000EE"/>
            <w:u w:val="single"/>
          </w:rPr>
          <w:t>Cl 4.7–18</w:t>
        </w:r>
      </w:hyperlink>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hyperlink r:id="rId37">
        <w:r>
          <w:rPr>
            <w:lang w:val="pt_PT" w:bidi="pt_PT"/>
          </w:rPr>
          <w:rPr>
            <w:color w:val="0000EE"/>
            <w:u w:val="single"/>
          </w:rPr>
          <w:t>Cl 4.10</w:t>
        </w:r>
      </w:hyperlink>
      <w:r>
        <w:rPr>
          <w:lang w:val="pt_PT" w:bidi="pt_PT"/>
        </w:rPr>
        <w:t>,</w:t>
      </w:r>
      <w:hyperlink r:id="rId38">
        <w:r>
          <w:rPr>
            <w:lang w:val="pt_PT" w:bidi="pt_PT"/>
          </w:rPr>
          <w:rPr>
            <w:color w:val="0000EE"/>
            <w:u w:val="single"/>
          </w:rPr>
          <w:t>14</w:t>
        </w:r>
      </w:hyperlink>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hyperlink r:id="rId39">
        <w:r>
          <w:rPr>
            <w:lang w:val="pt_PT" w:bidi="pt_PT"/>
          </w:rPr>
          <w:rPr>
            <w:color w:val="0000EE"/>
            <w:u w:val="single"/>
          </w:rPr>
          <w:t>At 19.29</w:t>
        </w:r>
      </w:hyperlink>
      <w:r>
        <w:rPr>
          <w:lang w:val="pt_PT" w:bidi="pt_PT"/>
        </w:rPr>
        <w:t xml:space="preserve">; </w:t>
      </w:r>
      <w:hyperlink r:id="rId40">
        <w:r>
          <w:rPr>
            <w:lang w:val="pt_PT" w:bidi="pt_PT"/>
          </w:rPr>
          <w:rPr>
            <w:color w:val="0000EE"/>
            <w:u w:val="single"/>
          </w:rPr>
          <w:t>20.4</w:t>
        </w:r>
      </w:hyperlink>
      <w:r>
        <w:rPr>
          <w:lang w:val="pt_PT" w:bidi="pt_PT"/>
        </w:rPr>
        <w:t xml:space="preserve">; </w:t>
      </w:r>
      <w:hyperlink r:id="rId41">
        <w:r>
          <w:rPr>
            <w:lang w:val="pt_PT" w:bidi="pt_PT"/>
          </w:rPr>
          <w:rPr>
            <w:color w:val="0000EE"/>
            <w:u w:val="single"/>
          </w:rPr>
          <w:t>27.2</w:t>
        </w:r>
      </w:hyperlink>
      <w:r>
        <w:rPr>
          <w:lang w:val="pt_PT" w:bidi="pt_PT"/>
        </w:rPr>
        <w:t>). • Demas foi um cooperador que, mais tarde, abandonou Paulo (</w:t>
      </w:r>
      <w:hyperlink r:id="rId42">
        <w:r>
          <w:rPr>
            <w:lang w:val="pt_PT" w:bidi="pt_PT"/>
          </w:rPr>
          <w:rPr>
            <w:color w:val="0000EE"/>
            <w:u w:val="single"/>
          </w:rPr>
          <w:t>2Tm 4.10</w:t>
        </w:r>
      </w:hyperlink>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