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hyperlink r:id="rId13">
        <w:r>
          <w:rPr>
            <w:lang w:val="fr_FR" w:bidi="fr_FR"/>
          </w:rPr>
          <w:rPr>
            <w:color w:val="0000EE"/>
            <w:u w:val="single"/>
          </w:rPr>
          <w:t>Gn 5.3–32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hyperlink r:id="rId14">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hyperlink r:id="rId15">
        <w:r>
          <w:rPr>
            <w:lang w:val="fr_FR" w:bidi="fr_FR"/>
          </w:rPr>
          <w:rPr>
            <w:color w:val="0000EE"/>
            <w:u w:val="single"/>
          </w:rPr>
          <w:t>Gn 11.10–26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hyperlink r:id="rId16">
        <w:r>
          <w:rPr>
            <w:lang w:val="fr_FR" w:bidi="fr_FR"/>
          </w:rPr>
          <w:rPr>
            <w:color w:val="0000EE"/>
            <w:u w:val="single"/>
          </w:rPr>
          <w:t>1.29–31</w:t>
        </w:r>
      </w:hyperlink>
      <w:r>
        <w:rPr>
          <w:lang w:val="fr_FR" w:bidi="fr_FR"/>
        </w:rPr>
        <w:t xml:space="preserve"> ; cf. </w:t>
      </w:r>
      <w:hyperlink r:id="rId17">
        <w:r>
          <w:rPr>
            <w:lang w:val="fr_FR" w:bidi="fr_FR"/>
          </w:rPr>
          <w:rPr>
            <w:color w:val="0000EE"/>
            <w:u w:val="single"/>
          </w:rPr>
          <w:t>Gn 25.12–15</w:t>
        </w:r>
      </w:hyperlink>
      <w:r>
        <w:rPr>
          <w:lang w:val="fr_FR" w:bidi="fr_FR"/>
        </w:rPr>
        <w:t>) et les fils de Ketura (</w:t>
      </w:r>
      <w:hyperlink r:id="rId18">
        <w:r>
          <w:rPr>
            <w:lang w:val="fr_FR" w:bidi="fr_FR"/>
          </w:rPr>
          <w:rPr>
            <w:color w:val="0000EE"/>
            <w:u w:val="single"/>
          </w:rPr>
          <w:t>1Ch 1.32–33</w:t>
        </w:r>
      </w:hyperlink>
      <w:r>
        <w:rPr>
          <w:lang w:val="fr_FR" w:bidi="fr_FR"/>
        </w:rPr>
        <w:t xml:space="preserve"> ; cf. </w:t>
      </w:r>
      <w:hyperlink r:id="rId19">
        <w:r>
          <w:rPr>
            <w:lang w:val="fr_FR" w:bidi="fr_FR"/>
          </w:rPr>
          <w:rPr>
            <w:color w:val="0000EE"/>
            <w:u w:val="single"/>
          </w:rPr>
          <w:t>Gn 25.1–3</w:t>
        </w:r>
      </w:hyperlink>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hyperlink r:id="rId20">
        <w:r>
          <w:rPr>
            <w:lang w:val="fr_FR" w:bidi="fr_FR"/>
          </w:rPr>
          <w:rPr>
            <w:color w:val="0000EE"/>
            <w:u w:val="single"/>
          </w:rPr>
          <w:t>1.35–54</w:t>
        </w:r>
      </w:hyperlink>
      <w:r>
        <w:rPr>
          <w:lang w:val="fr_FR" w:bidi="fr_FR"/>
        </w:rPr>
        <w:t>) et continue avec Israël. L’histoire d’Édom est présentée en trois parties : la descendance d’Ésaü (</w:t>
      </w:r>
      <w:hyperlink r:id="rId21">
        <w:r>
          <w:rPr>
            <w:lang w:val="fr_FR" w:bidi="fr_FR"/>
          </w:rPr>
          <w:rPr>
            <w:color w:val="0000EE"/>
            <w:u w:val="single"/>
          </w:rPr>
          <w:t>1.35–37</w:t>
        </w:r>
      </w:hyperlink>
      <w:r>
        <w:rPr>
          <w:lang w:val="fr_FR" w:bidi="fr_FR"/>
        </w:rPr>
        <w:t>), la descendance de Séir (</w:t>
      </w:r>
      <w:hyperlink r:id="rId22">
        <w:r>
          <w:rPr>
            <w:lang w:val="fr_FR" w:bidi="fr_FR"/>
          </w:rPr>
          <w:rPr>
            <w:color w:val="0000EE"/>
            <w:u w:val="single"/>
          </w:rPr>
          <w:t>1.38–42</w:t>
        </w:r>
      </w:hyperlink>
      <w:r>
        <w:rPr>
          <w:lang w:val="fr_FR" w:bidi="fr_FR"/>
        </w:rPr>
        <w:t>), et les rois qui ont régné dans le pays d’Édom (</w:t>
      </w:r>
      <w:hyperlink r:id="rId23">
        <w:r>
          <w:rPr>
            <w:lang w:val="fr_FR" w:bidi="fr_FR"/>
          </w:rPr>
          <w:rPr>
            <w:color w:val="0000EE"/>
            <w:u w:val="single"/>
          </w:rPr>
          <w:t>1.43–54</w:t>
        </w:r>
      </w:hyperlink>
      <w:r>
        <w:rPr>
          <w:lang w:val="fr_FR" w:bidi="fr_FR"/>
        </w:rPr>
        <w:t xml:space="preserve">). Cette disposition reprend celle du chapitre </w:t>
      </w:r>
      <w:hyperlink r:id="rId24">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hyperlink r:id="rId25">
        <w:r>
          <w:rPr>
            <w:lang w:val="fr_FR" w:bidi="fr_FR"/>
          </w:rPr>
          <w:rPr>
            <w:color w:val="0000EE"/>
            <w:u w:val="single"/>
          </w:rPr>
          <w:t>Gn 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hyperlink r:id="rId26">
        <w:r>
          <w:rPr>
            <w:lang w:val="fr_FR" w:bidi="fr_FR"/>
          </w:rPr>
          <w:rPr>
            <w:color w:val="0000EE"/>
            <w:u w:val="single"/>
          </w:rPr>
          <w:t>Gn 38.6–10</w:t>
        </w:r>
      </w:hyperlink>
      <w:r>
        <w:rPr>
          <w:lang w:val="fr_FR" w:bidi="fr_FR"/>
        </w:rPr>
        <w:t>). Les descendants de Shéla sont cités en annexe à la fin des généalogies de Juda (</w:t>
      </w:r>
      <w:hyperlink r:id="rId27">
        <w:r>
          <w:rPr>
            <w:lang w:val="fr_FR" w:bidi="fr_FR"/>
          </w:rPr>
          <w:rPr>
            <w:color w:val="0000EE"/>
            <w:u w:val="single"/>
          </w:rPr>
          <w:t>1Ch 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hyperlink r:id="rId28">
        <w:r>
          <w:rPr>
            <w:lang w:val="fr_FR" w:bidi="fr_FR"/>
          </w:rPr>
          <w:rPr>
            <w:color w:val="0000EE"/>
            <w:u w:val="single"/>
          </w:rPr>
          <w:t>Gn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hyperlink r:id="rId29">
        <w:r>
          <w:rPr>
            <w:lang w:val="fr_FR" w:bidi="fr_FR"/>
          </w:rPr>
          <w:rPr>
            <w:color w:val="0000EE"/>
            <w:u w:val="single"/>
          </w:rPr>
          <w:t>2.1–2</w:t>
        </w:r>
      </w:hyperlink>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hyperlink r:id="rId30">
        <w:r>
          <w:rPr>
            <w:lang w:val="fr_FR" w:bidi="fr_FR"/>
          </w:rPr>
          <w:rPr>
            <w:color w:val="0000EE"/>
            <w:u w:val="single"/>
          </w:rPr>
          <w:t>Jos 7.1</w:t>
        </w:r>
      </w:hyperlink>
      <w:r>
        <w:rPr>
          <w:lang w:val="fr_FR" w:bidi="fr_FR"/>
        </w:rPr>
        <w:t xml:space="preserve">, </w:t>
      </w:r>
      <w:hyperlink r:id="rId31">
        <w:r>
          <w:rPr>
            <w:lang w:val="fr_FR" w:bidi="fr_FR"/>
          </w:rPr>
          <w:rPr>
            <w:color w:val="0000EE"/>
            <w:u w:val="single"/>
          </w:rPr>
          <w:t>17</w:t>
        </w:r>
      </w:hyperlink>
      <w:r>
        <w:rPr>
          <w:lang w:val="fr_FR" w:bidi="fr_FR"/>
        </w:rPr>
        <w:t xml:space="preserve"> ; </w:t>
      </w:r>
      <w:hyperlink r:id="rId32">
        <w:r>
          <w:rPr>
            <w:lang w:val="fr_FR" w:bidi="fr_FR"/>
          </w:rPr>
          <w:rPr>
            <w:color w:val="0000EE"/>
            <w:u w:val="single"/>
          </w:rPr>
          <w:t>1R 4.31</w:t>
        </w:r>
      </w:hyperlink>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hyperlink r:id="rId33">
        <w:r>
          <w:rPr>
            <w:lang w:val="fr_FR" w:bidi="fr_FR"/>
          </w:rPr>
          <w:rPr>
            <w:color w:val="0000EE"/>
            <w:u w:val="single"/>
          </w:rPr>
          <w:t>2.42–55</w:t>
        </w:r>
      </w:hyperlink>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hyperlink r:id="rId34">
        <w:r>
          <w:rPr>
            <w:lang w:val="fr_FR" w:bidi="fr_FR"/>
          </w:rPr>
          <w:rPr>
            <w:color w:val="0000EE"/>
            <w:u w:val="single"/>
          </w:rPr>
          <w:t>2.9–17</w:t>
        </w:r>
      </w:hyperlink>
      <w:r>
        <w:rPr>
          <w:lang w:val="fr_FR" w:bidi="fr_FR"/>
        </w:rPr>
        <w:t xml:space="preserve"> ; cf. </w:t>
      </w:r>
      <w:hyperlink r:id="rId35">
        <w:r>
          <w:rPr>
            <w:lang w:val="fr_FR" w:bidi="fr_FR"/>
          </w:rPr>
          <w:rPr>
            <w:color w:val="0000EE"/>
            <w:u w:val="single"/>
          </w:rPr>
          <w:t>Rt 4.18–22</w:t>
        </w:r>
      </w:hyperlink>
      <w:r>
        <w:rPr>
          <w:lang w:val="fr_FR" w:bidi="fr_FR"/>
        </w:rPr>
        <w:t>), les autres descendants de Hetsron (</w:t>
      </w:r>
      <w:hyperlink r:id="rId36">
        <w:r>
          <w:rPr>
            <w:lang w:val="fr_FR" w:bidi="fr_FR"/>
          </w:rPr>
          <w:rPr>
            <w:color w:val="0000EE"/>
            <w:u w:val="single"/>
          </w:rPr>
          <w:t>1 Ch 2.18–41</w:t>
        </w:r>
      </w:hyperlink>
      <w:r>
        <w:rPr>
          <w:lang w:val="fr_FR" w:bidi="fr_FR"/>
        </w:rPr>
        <w:t>), puis les descendants du fils de Hetsron, Caleb (</w:t>
      </w:r>
      <w:hyperlink r:id="rId33">
        <w:r>
          <w:rPr>
            <w:lang w:val="fr_FR" w:bidi="fr_FR"/>
          </w:rPr>
          <w:rPr>
            <w:color w:val="0000EE"/>
            <w:u w:val="single"/>
          </w:rPr>
          <w:t>2.42–55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hyperlink r:id="rId37">
        <w:r>
          <w:rPr>
            <w:lang w:val="fr_FR" w:bidi="fr_FR"/>
          </w:rPr>
          <w:rPr>
            <w:color w:val="0000EE"/>
            <w:u w:val="single"/>
          </w:rPr>
          <w:t>1S 16.6–13</w:t>
        </w:r>
      </w:hyperlink>
      <w:r>
        <w:rPr>
          <w:lang w:val="fr_FR" w:bidi="fr_FR"/>
        </w:rPr>
        <w:t xml:space="preserve"> ; </w:t>
      </w:r>
      <w:hyperlink r:id="rId38">
        <w:r>
          <w:rPr>
            <w:lang w:val="fr_FR" w:bidi="fr_FR"/>
          </w:rPr>
          <w:rPr>
            <w:color w:val="0000EE"/>
            <w:u w:val="single"/>
          </w:rPr>
          <w:t>17.12</w:t>
        </w:r>
      </w:hyperlink>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hyperlink r:id="rId39">
        <w:r>
          <w:rPr>
            <w:lang w:val="fr_FR" w:bidi="fr_FR"/>
          </w:rPr>
          <w:rPr>
            <w:color w:val="0000EE"/>
            <w:u w:val="single"/>
          </w:rPr>
          <w:t>Ex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hyperlink r:id="rId40">
        <w:r>
          <w:rPr>
            <w:lang w:val="fr_FR" w:bidi="fr_FR"/>
          </w:rPr>
          <w:rPr>
            <w:color w:val="0000EE"/>
            <w:u w:val="single"/>
          </w:rPr>
          <w:t>Nb 32.39–42</w:t>
        </w:r>
      </w:hyperlink>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hyperlink r:id="rId41">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hyperlink r:id="rId42">
        <w:r>
          <w:rPr>
            <w:lang w:val="fr_FR" w:bidi="fr_FR"/>
          </w:rPr>
          <w:rPr>
            <w:color w:val="0000EE"/>
            <w:u w:val="single"/>
          </w:rPr>
          <w:t>2S 3.2–5</w:t>
        </w:r>
      </w:hyperlink>
      <w:r>
        <w:rPr>
          <w:lang w:val="fr_FR" w:bidi="fr_FR"/>
        </w:rPr>
        <w:t xml:space="preserve"> ; </w:t>
      </w:r>
      <w:hyperlink r:id="rId43">
        <w:r>
          <w:rPr>
            <w:lang w:val="fr_FR" w:bidi="fr_FR"/>
          </w:rPr>
          <w:rPr>
            <w:color w:val="0000EE"/>
            <w:u w:val="single"/>
          </w:rPr>
          <w:t>5.14–16</w:t>
        </w:r>
      </w:hyperlink>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hyperlink r:id="rId44">
        <w:r>
          <w:rPr>
            <w:lang w:val="fr_FR" w:bidi="fr_FR"/>
          </w:rPr>
          <w:rPr>
            <w:color w:val="0000EE"/>
            <w:u w:val="single"/>
          </w:rPr>
          <w:t>2.10–17</w:t>
        </w:r>
      </w:hyperlink>
      <w:r>
        <w:rPr>
          <w:lang w:val="fr_FR" w:bidi="fr_FR"/>
        </w:rPr>
        <w:t>), qui mentionnait David comme le septième fils d’Isaï (</w:t>
      </w:r>
      <w:hyperlink r:id="rId45">
        <w:r>
          <w:rPr>
            <w:lang w:val="fr_FR" w:bidi="fr_FR"/>
          </w:rPr>
          <w:rPr>
            <w:color w:val="0000EE"/>
            <w:u w:val="single"/>
          </w:rPr>
          <w:t>2.15</w:t>
        </w:r>
      </w:hyperlink>
      <w:r>
        <w:rPr>
          <w:lang w:val="fr_FR" w:bidi="fr_FR"/>
        </w:rPr>
        <w:t>). La généalogie de David est divisée en trois sections : les fils de David (</w:t>
      </w:r>
      <w:hyperlink r:id="rId46">
        <w:r>
          <w:rPr>
            <w:lang w:val="fr_FR" w:bidi="fr_FR"/>
          </w:rPr>
          <w:rPr>
            <w:color w:val="0000EE"/>
            <w:u w:val="single"/>
          </w:rPr>
          <w:t>3.1–9</w:t>
        </w:r>
      </w:hyperlink>
      <w:r>
        <w:rPr>
          <w:lang w:val="fr_FR" w:bidi="fr_FR"/>
        </w:rPr>
        <w:t>) ; les rois de Juda jusqu’à Jojakim et Sédécias (</w:t>
      </w:r>
      <w:hyperlink r:id="rId47">
        <w:r>
          <w:rPr>
            <w:lang w:val="fr_FR" w:bidi="fr_FR"/>
          </w:rPr>
          <w:rPr>
            <w:color w:val="0000EE"/>
            <w:u w:val="single"/>
          </w:rPr>
          <w:t>3.10–16</w:t>
        </w:r>
      </w:hyperlink>
      <w:r>
        <w:rPr>
          <w:lang w:val="fr_FR" w:bidi="fr_FR"/>
        </w:rPr>
        <w:t>), qui ont été exilés à Babylone ; et les descendants de Jojakim jusqu’à l’époque du Chroniqueur (</w:t>
      </w:r>
      <w:hyperlink r:id="rId48">
        <w:r>
          <w:rPr>
            <w:lang w:val="fr_FR" w:bidi="fr_FR"/>
          </w:rPr>
          <w:rPr>
            <w:color w:val="0000EE"/>
            <w:u w:val="single"/>
          </w:rPr>
          <w:t>3.17–24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hyperlink r:id="rId49">
        <w:r>
          <w:rPr>
            <w:lang w:val="fr_FR" w:bidi="fr_FR"/>
          </w:rPr>
          <w:rPr>
            <w:color w:val="0000EE"/>
            <w:u w:val="single"/>
          </w:rPr>
          <w:t>2.1–55</w:t>
        </w:r>
      </w:hyperlink>
      <w:r>
        <w:rPr>
          <w:lang w:val="fr_FR" w:bidi="fr_FR"/>
        </w:rPr>
        <w:t>. Le lien avec Hur</w:t>
      </w:r>
      <w:r>
        <w:rPr>
          <w:i/>
          <w:lang w:val="fr_FR" w:bidi="fr_FR"/>
        </w:rPr>
        <w:t>,</w:t>
      </w:r>
      <w:r>
        <w:rPr>
          <w:lang w:val="fr_FR" w:bidi="fr_FR"/>
        </w:rPr>
        <w:t xml:space="preserve"> l’ancêtre de Bethléhem, est immédiatement prouvée (</w:t>
      </w:r>
      <w:hyperlink r:id="rId50">
        <w:r>
          <w:rPr>
            <w:lang w:val="fr_FR" w:bidi="fr_FR"/>
          </w:rPr>
          <w:rPr>
            <w:color w:val="0000EE"/>
            <w:u w:val="single"/>
          </w:rPr>
          <w:t>4.1–4</w:t>
        </w:r>
      </w:hyperlink>
      <w:r>
        <w:rPr>
          <w:lang w:val="fr_FR" w:bidi="fr_FR"/>
        </w:rPr>
        <w:t xml:space="preserve"> ; voir </w:t>
      </w:r>
      <w:hyperlink r:id="rId51">
        <w:r>
          <w:rPr>
            <w:lang w:val="fr_FR" w:bidi="fr_FR"/>
          </w:rPr>
          <w:rPr>
            <w:color w:val="0000EE"/>
            <w:u w:val="single"/>
          </w:rPr>
          <w:t>2.19–20</w:t>
        </w:r>
      </w:hyperlink>
      <w:r>
        <w:rPr>
          <w:lang w:val="fr_FR" w:bidi="fr_FR"/>
        </w:rPr>
        <w:t xml:space="preserve">, </w:t>
      </w:r>
      <w:hyperlink r:id="rId52">
        <w:r>
          <w:rPr>
            <w:lang w:val="fr_FR" w:bidi="fr_FR"/>
          </w:rPr>
          <w:rPr>
            <w:color w:val="0000EE"/>
            <w:u w:val="single"/>
          </w:rPr>
          <w:t>51–55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3">
        <w:r>
          <w:rPr>
            <w:lang w:val="fr_FR" w:bidi="fr_FR"/>
          </w:rPr>
          <w:rPr>
            <w:color w:val="0000EE"/>
            <w:u w:val="single"/>
          </w:rPr>
          <w:t>2.55</w:t>
        </w:r>
      </w:hyperlink>
      <w:r>
        <w:rPr>
          <w:lang w:val="fr_FR" w:bidi="fr_FR"/>
        </w:rPr>
        <w:t>). Jaebets a apparemment reçu son nom parce qu’il a causé de la douleur à sa mère, accomplissant ainsi la malédiction sur Ève (</w:t>
      </w:r>
      <w:hyperlink r:id="rId54">
        <w:r>
          <w:rPr>
            <w:lang w:val="fr_FR" w:bidi="fr_FR"/>
          </w:rPr>
          <w:rPr>
            <w:color w:val="0000EE"/>
            <w:u w:val="single"/>
          </w:rPr>
          <w:t>Gn 3.16</w:t>
        </w:r>
      </w:hyperlink>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hyperlink r:id="rId55">
        <w:r>
          <w:rPr>
            <w:lang w:val="fr_FR" w:bidi="fr_FR"/>
          </w:rPr>
          <w:rPr>
            <w:color w:val="0000EE"/>
            <w:u w:val="single"/>
          </w:rPr>
          <w:t>Gn 36.11</w:t>
        </w:r>
      </w:hyperlink>
      <w:r>
        <w:rPr>
          <w:lang w:val="fr_FR" w:bidi="fr_FR"/>
        </w:rPr>
        <w:t>) ; ses descendants sont connus sous le nom de Kéniziens. Les Kéniziens vivaient dans le sud du pays et étaient liés à Juda et Édom. Caleb, fils de Jephunné, était un Kénizien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et avait un frère nommé Kenaz (</w:t>
      </w:r>
      <w:hyperlink r:id="rId58">
        <w:r>
          <w:rPr>
            <w:lang w:val="fr_FR" w:bidi="fr_FR"/>
          </w:rPr>
          <w:rPr>
            <w:color w:val="0000EE"/>
            <w:u w:val="single"/>
          </w:rPr>
          <w:t>Jos 15.17</w:t>
        </w:r>
      </w:hyperlink>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hyperlink r:id="rId59">
        <w:r>
          <w:rPr>
            <w:lang w:val="fr_FR" w:bidi="fr_FR"/>
          </w:rPr>
          <w:rPr>
            <w:color w:val="0000EE"/>
            <w:u w:val="single"/>
          </w:rPr>
          <w:t>2.4–4.20</w:t>
        </w:r>
      </w:hyperlink>
      <w:r>
        <w:rPr>
          <w:lang w:val="fr_FR" w:bidi="fr_FR"/>
        </w:rPr>
        <w:t>), l’auteur liste les descendants de Shéla</w:t>
      </w:r>
      <w:r>
        <w:rPr>
          <w:i/>
          <w:lang w:val="fr_FR" w:bidi="fr_FR"/>
        </w:rPr>
        <w:t>,</w:t>
      </w:r>
      <w:r>
        <w:rPr>
          <w:lang w:val="fr_FR" w:bidi="fr_FR"/>
        </w:rPr>
        <w:t xml:space="preserve"> le troisième fils de Juda par Bathshua (voir </w:t>
      </w:r>
      <w:hyperlink r:id="rId60">
        <w:r>
          <w:rPr>
            <w:lang w:val="fr_FR" w:bidi="fr_FR"/>
          </w:rPr>
          <w:rPr>
            <w:color w:val="0000EE"/>
            <w:u w:val="single"/>
          </w:rPr>
          <w:t>2.3</w:t>
        </w:r>
      </w:hyperlink>
      <w:r>
        <w:rPr>
          <w:lang w:val="fr_FR" w:bidi="fr_FR"/>
        </w:rPr>
        <w:t xml:space="preserve"> ; </w:t>
      </w:r>
      <w:hyperlink r:id="rId61">
        <w:r>
          <w:rPr>
            <w:lang w:val="fr_FR" w:bidi="fr_FR"/>
          </w:rPr>
          <w:rPr>
            <w:color w:val="0000EE"/>
            <w:u w:val="single"/>
          </w:rPr>
          <w:t>Gn 38.2</w:t>
        </w:r>
      </w:hyperlink>
      <w:r>
        <w:rPr>
          <w:lang w:val="fr_FR" w:bidi="fr_FR"/>
        </w:rPr>
        <w:t xml:space="preserve">, </w:t>
      </w:r>
      <w:hyperlink r:id="rId6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hyperlink r:id="rId63">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hyperlink r:id="rId64">
        <w:r>
          <w:rPr>
            <w:lang w:val="fr_FR" w:bidi="fr_FR"/>
          </w:rPr>
          <w:rPr>
            <w:color w:val="0000EE"/>
            <w:u w:val="single"/>
          </w:rPr>
          <w:t>2.3–4.23</w:t>
        </w:r>
      </w:hyperlink>
      <w:r>
        <w:rPr>
          <w:lang w:val="fr_FR" w:bidi="fr_FR"/>
        </w:rPr>
        <w:t xml:space="preserve">), le Chroniqueur se tourne vers les archives pour les autres fils d’Israël (cf. </w:t>
      </w:r>
      <w:hyperlink r:id="rId29">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hyperlink r:id="rId65">
        <w:r>
          <w:rPr>
            <w:lang w:val="fr_FR" w:bidi="fr_FR"/>
          </w:rPr>
          <w:rPr>
            <w:color w:val="0000EE"/>
            <w:u w:val="single"/>
          </w:rPr>
          <w:t>4.34–38</w:t>
        </w:r>
      </w:hyperlink>
      <w:r>
        <w:rPr>
          <w:lang w:val="fr_FR" w:bidi="fr_FR"/>
        </w:rPr>
        <w:t>) introduit la description de l’expansion géographique de Siméon (</w:t>
      </w:r>
      <w:hyperlink r:id="rId66">
        <w:r>
          <w:rPr>
            <w:lang w:val="fr_FR" w:bidi="fr_FR"/>
          </w:rPr>
          <w:rPr>
            <w:color w:val="0000EE"/>
            <w:u w:val="single"/>
          </w:rPr>
          <w:t>4.38–43</w:t>
        </w:r>
      </w:hyperlink>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hyperlink r:id="rId67">
        <w:r>
          <w:rPr>
            <w:lang w:val="fr_FR" w:bidi="fr_FR"/>
          </w:rPr>
          <w:rPr>
            <w:color w:val="0000EE"/>
            <w:u w:val="single"/>
          </w:rPr>
          <w:t>2R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hyperlink r:id="rId68">
        <w:r>
          <w:rPr>
            <w:lang w:val="fr_FR" w:bidi="fr_FR"/>
          </w:rPr>
          <w:rPr>
            <w:color w:val="0000EE"/>
            <w:u w:val="single"/>
          </w:rPr>
          <w:t>Gn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hyperlink r:id="rId69">
        <w:r>
          <w:rPr>
            <w:lang w:val="fr_FR" w:bidi="fr_FR"/>
          </w:rPr>
          <w:rPr>
            <w:color w:val="0000EE"/>
            <w:u w:val="single"/>
          </w:rPr>
          <w:t>Gn 35.22</w:t>
        </w:r>
      </w:hyperlink>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hyperlink r:id="rId70">
        <w:r>
          <w:rPr>
            <w:lang w:val="fr_FR" w:bidi="fr_FR"/>
          </w:rPr>
          <w:rPr>
            <w:color w:val="0000EE"/>
            <w:u w:val="single"/>
          </w:rPr>
          <w:t>Gn 48.5</w:t>
        </w:r>
      </w:hyperlink>
      <w:r>
        <w:rPr>
          <w:lang w:val="fr_FR" w:bidi="fr_FR"/>
        </w:rPr>
        <w:t xml:space="preserve">). </w:t>
      </w:r>
      <w:r>
        <w:rPr>
          <w:lang w:val="fr_FR" w:bidi="fr_FR"/>
        </w:rPr>
        <w:t>Joseph a ainsi reçu la double portion qui revient traditionnellement au premier-né</w:t>
      </w:r>
      <w:r>
        <w:rPr>
          <w:lang w:val="fr_FR" w:bidi="fr_FR"/>
        </w:rPr>
        <w:t xml:space="preserve"> (</w:t>
      </w:r>
      <w:hyperlink r:id="rId71">
        <w:r>
          <w:rPr>
            <w:lang w:val="fr_FR" w:bidi="fr_FR"/>
          </w:rPr>
          <w:rPr>
            <w:color w:val="0000EE"/>
            <w:u w:val="single"/>
          </w:rPr>
          <w:t>Dt 21.15–17</w:t>
        </w:r>
      </w:hyperlink>
      <w:r>
        <w:rPr>
          <w:lang w:val="fr_FR" w:bidi="fr_FR"/>
        </w:rPr>
        <w:t>). Comme Jacob l'avait prévu, Juda a surpassé ses frères et est devenu l'ancêtre de la tribu dirigeante (</w:t>
      </w:r>
      <w:hyperlink r:id="rId72">
        <w:r>
          <w:rPr>
            <w:lang w:val="fr_FR" w:bidi="fr_FR"/>
          </w:rPr>
          <w:rPr>
            <w:color w:val="0000EE"/>
            <w:u w:val="single"/>
          </w:rPr>
          <w:t>Gn 49.8–10</w:t>
        </w:r>
      </w:hyperlink>
      <w:r>
        <w:rPr>
          <w:lang w:val="fr_FR" w:bidi="fr_FR"/>
        </w:rPr>
        <w:t>). Cependant, Ruben est toujours mentionné en premier (</w:t>
      </w:r>
      <w:hyperlink r:id="rId73">
        <w:r>
          <w:rPr>
            <w:lang w:val="fr_FR" w:bidi="fr_FR"/>
          </w:rPr>
          <w:rPr>
            <w:color w:val="0000EE"/>
            <w:u w:val="single"/>
          </w:rPr>
          <w:t>1Ch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hyperlink r:id="rId74">
        <w:r>
          <w:rPr>
            <w:lang w:val="fr_FR" w:bidi="fr_FR"/>
          </w:rPr>
          <w:rPr>
            <w:color w:val="0000EE"/>
            <w:u w:val="single"/>
          </w:rPr>
          <w:t>5.1–10</w:t>
        </w:r>
      </w:hyperlink>
      <w:r>
        <w:rPr>
          <w:lang w:val="fr_FR" w:bidi="fr_FR"/>
        </w:rPr>
        <w:t xml:space="preserve"> ; cf. </w:t>
      </w:r>
      <w:hyperlink r:id="rId75">
        <w:r>
          <w:rPr>
            <w:lang w:val="fr_FR" w:bidi="fr_FR"/>
          </w:rPr>
          <w:rPr>
            <w:color w:val="0000EE"/>
            <w:u w:val="single"/>
          </w:rPr>
          <w:t>Gn 46.9</w:t>
        </w:r>
      </w:hyperlink>
      <w:r>
        <w:rPr>
          <w:lang w:val="fr_FR" w:bidi="fr_FR"/>
        </w:rPr>
        <w:t>), Gad (</w:t>
      </w:r>
      <w:hyperlink r:id="rId76">
        <w:r>
          <w:rPr>
            <w:lang w:val="fr_FR" w:bidi="fr_FR"/>
          </w:rPr>
          <w:rPr>
            <w:color w:val="0000EE"/>
            <w:u w:val="single"/>
          </w:rPr>
          <w:t>1 Ch 5.11–17</w:t>
        </w:r>
      </w:hyperlink>
      <w:r>
        <w:rPr>
          <w:lang w:val="fr_FR" w:bidi="fr_FR"/>
        </w:rPr>
        <w:t>), et Manassé (</w:t>
      </w:r>
      <w:hyperlink r:id="rId77">
        <w:r>
          <w:rPr>
            <w:lang w:val="fr_FR" w:bidi="fr_FR"/>
          </w:rPr>
          <w:rPr>
            <w:color w:val="0000EE"/>
            <w:u w:val="single"/>
          </w:rPr>
          <w:t>5.23–24</w:t>
        </w:r>
      </w:hyperlink>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hyperlink r:id="rId75">
        <w:r>
          <w:rPr>
            <w:lang w:val="fr_FR" w:bidi="fr_FR"/>
          </w:rPr>
          <w:rPr>
            <w:color w:val="0000EE"/>
            <w:u w:val="single"/>
          </w:rPr>
          <w:t>Gn 46.9</w:t>
        </w:r>
      </w:hyperlink>
      <w:r>
        <w:rPr>
          <w:lang w:val="fr_FR" w:bidi="fr_FR"/>
        </w:rPr>
        <w:t xml:space="preserve"> ; </w:t>
      </w:r>
      <w:hyperlink r:id="rId78">
        <w:r>
          <w:rPr>
            <w:lang w:val="fr_FR" w:bidi="fr_FR"/>
          </w:rPr>
          <w:rPr>
            <w:color w:val="0000EE"/>
            <w:u w:val="single"/>
          </w:rPr>
          <w:t>Ex 6.14</w:t>
        </w:r>
      </w:hyperlink>
      <w:r>
        <w:rPr>
          <w:lang w:val="fr_FR" w:bidi="fr_FR"/>
        </w:rPr>
        <w:t xml:space="preserve"> ; </w:t>
      </w:r>
      <w:hyperlink r:id="rId79">
        <w:r>
          <w:rPr>
            <w:lang w:val="fr_FR" w:bidi="fr_FR"/>
          </w:rPr>
          <w:rPr>
            <w:color w:val="0000EE"/>
            <w:u w:val="single"/>
          </w:rPr>
          <w:t>Nb 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hyperlink r:id="rId80">
        <w:r>
          <w:rPr>
            <w:lang w:val="fr_FR" w:bidi="fr_FR"/>
          </w:rPr>
          <w:rPr>
            <w:color w:val="0000EE"/>
            <w:u w:val="single"/>
          </w:rPr>
          <w:t>5.25–26</w:t>
        </w:r>
      </w:hyperlink>
      <w:r>
        <w:rPr>
          <w:lang w:val="fr_FR" w:bidi="fr_FR"/>
        </w:rPr>
        <w:t xml:space="preserve"> ; </w:t>
      </w:r>
      <w:hyperlink r:id="rId81">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hyperlink r:id="rId82">
        <w:r>
          <w:rPr>
            <w:lang w:val="fr_FR" w:bidi="fr_FR"/>
          </w:rPr>
          <w:rPr>
            <w:color w:val="0000EE"/>
            <w:u w:val="single"/>
          </w:rPr>
          <w:t>5.18–22</w:t>
        </w:r>
      </w:hyperlink>
      <w:r>
        <w:rPr>
          <w:lang w:val="fr_FR" w:bidi="fr_FR"/>
        </w:rPr>
        <w:t xml:space="preserve"> ; </w:t>
      </w:r>
      <w:hyperlink r:id="rId83">
        <w:r>
          <w:rPr>
            <w:lang w:val="fr_FR" w:bidi="fr_FR"/>
          </w:rPr>
          <w:rPr>
            <w:color w:val="0000EE"/>
            <w:u w:val="single"/>
          </w:rPr>
          <w:t>Ps 83.6</w:t>
        </w:r>
      </w:hyperlink>
      <w:r>
        <w:rPr>
          <w:lang w:val="fr_FR" w:bidi="fr_FR"/>
        </w:rPr>
        <w:t xml:space="preserve">). Plus tard, les Hagaréniens ont intégré les rangs des hommes de David (voir </w:t>
      </w:r>
      <w:hyperlink r:id="rId84">
        <w:r>
          <w:rPr>
            <w:lang w:val="fr_FR" w:bidi="fr_FR"/>
          </w:rPr>
          <w:rPr>
            <w:color w:val="0000EE"/>
            <w:u w:val="single"/>
          </w:rPr>
          <w:t>1Ch 11.38</w:t>
        </w:r>
      </w:hyperlink>
      <w:r>
        <w:rPr>
          <w:lang w:val="fr_FR" w:bidi="fr_FR"/>
        </w:rPr>
        <w:t xml:space="preserve"> ; </w:t>
      </w:r>
      <w:hyperlink r:id="rId85">
        <w:r>
          <w:rPr>
            <w:lang w:val="fr_FR" w:bidi="fr_FR"/>
          </w:rPr>
          <w:rPr>
            <w:color w:val="0000EE"/>
            <w:u w:val="single"/>
          </w:rPr>
          <w:t>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hyperlink r:id="rId86">
        <w:r>
          <w:rPr>
            <w:lang w:val="fr_FR" w:bidi="fr_FR"/>
          </w:rPr>
          <w:rPr>
            <w:color w:val="0000EE"/>
            <w:u w:val="single"/>
          </w:rPr>
          <w:t>5.10</w:t>
        </w:r>
      </w:hyperlink>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hyperlink r:id="rId87">
        <w:r>
          <w:rPr>
            <w:lang w:val="fr_FR" w:bidi="fr_FR"/>
          </w:rPr>
          <w:rPr>
            <w:color w:val="0000EE"/>
            <w:u w:val="single"/>
          </w:rPr>
          <w:t>6.1–15</w:t>
        </w:r>
      </w:hyperlink>
      <w:r>
        <w:rPr>
          <w:lang w:val="fr_FR" w:bidi="fr_FR"/>
        </w:rPr>
        <w:t>), les trois clans de Lévites (</w:t>
      </w:r>
      <w:hyperlink r:id="rId88">
        <w:r>
          <w:rPr>
            <w:lang w:val="fr_FR" w:bidi="fr_FR"/>
          </w:rPr>
          <w:rPr>
            <w:color w:val="0000EE"/>
            <w:u w:val="single"/>
          </w:rPr>
          <w:t>6.16–30</w:t>
        </w:r>
      </w:hyperlink>
      <w:r>
        <w:rPr>
          <w:lang w:val="fr_FR" w:bidi="fr_FR"/>
        </w:rPr>
        <w:t>) et les chanteurs (</w:t>
      </w:r>
      <w:hyperlink r:id="rId89">
        <w:r>
          <w:rPr>
            <w:lang w:val="fr_FR" w:bidi="fr_FR"/>
          </w:rPr>
          <w:rPr>
            <w:color w:val="0000EE"/>
            <w:u w:val="single"/>
          </w:rPr>
          <w:t>6.31–47</w:t>
        </w:r>
      </w:hyperlink>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0">
        <w:r>
          <w:rPr>
            <w:lang w:val="fr_FR" w:bidi="fr_FR"/>
          </w:rPr>
          <w:rPr>
            <w:color w:val="0000EE"/>
            <w:u w:val="single"/>
          </w:rPr>
          <w:t>Esd 3.2</w:t>
        </w:r>
      </w:hyperlink>
      <w:r>
        <w:rPr>
          <w:lang w:val="fr_FR" w:bidi="fr_FR"/>
        </w:rPr>
        <w:t xml:space="preserve"> ; </w:t>
      </w:r>
      <w:hyperlink r:id="rId91">
        <w:r>
          <w:rPr>
            <w:lang w:val="fr_FR" w:bidi="fr_FR"/>
          </w:rPr>
          <w:rPr>
            <w:color w:val="0000EE"/>
            <w:u w:val="single"/>
          </w:rPr>
          <w:t>7.1–6</w:t>
        </w:r>
      </w:hyperlink>
      <w:r>
        <w:rPr>
          <w:lang w:val="fr_FR" w:bidi="fr_FR"/>
        </w:rPr>
        <w:t xml:space="preserve"> ; </w:t>
      </w:r>
      <w:hyperlink r:id="rId92">
        <w:r>
          <w:rPr>
            <w:lang w:val="fr_FR" w:bidi="fr_FR"/>
          </w:rPr>
          <w:rPr>
            <w:color w:val="0000EE"/>
            <w:u w:val="single"/>
          </w:rPr>
          <w:t>Ag 1.1</w:t>
        </w:r>
      </w:hyperlink>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hyperlink r:id="rId93">
        <w:r>
          <w:rPr>
            <w:lang w:val="fr_FR" w:bidi="fr_FR"/>
          </w:rPr>
          <w:rPr>
            <w:color w:val="0000EE"/>
            <w:u w:val="single"/>
          </w:rPr>
          <w:t>6.9</w:t>
        </w:r>
      </w:hyperlink>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hyperlink r:id="rId94">
        <w:r>
          <w:rPr>
            <w:lang w:val="fr_FR" w:bidi="fr_FR"/>
          </w:rPr>
          <w:rPr>
            <w:color w:val="0000EE"/>
            <w:u w:val="single"/>
          </w:rPr>
          <w:t>1R 6.1</w:t>
        </w:r>
      </w:hyperlink>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hyperlink r:id="rId9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hyperlink r:id="rId95">
        <w:r>
          <w:rPr>
            <w:lang w:val="fr_FR" w:bidi="fr_FR"/>
          </w:rPr>
          <w:rPr>
            <w:color w:val="0000EE"/>
            <w:u w:val="single"/>
          </w:rPr>
          <w:t>6.16–19a</w:t>
        </w:r>
      </w:hyperlink>
      <w:r>
        <w:rPr>
          <w:lang w:val="fr_FR" w:bidi="fr_FR"/>
        </w:rPr>
        <w:t>) présente les chefs de toutes les familles lévitiques (</w:t>
      </w:r>
      <w:hyperlink r:id="rId96">
        <w:r>
          <w:rPr>
            <w:lang w:val="fr_FR" w:bidi="fr_FR"/>
          </w:rPr>
          <w:rPr>
            <w:color w:val="0000EE"/>
            <w:u w:val="single"/>
          </w:rPr>
          <w:t>6.19b-30</w:t>
        </w:r>
      </w:hyperlink>
      <w:r>
        <w:rPr>
          <w:lang w:val="fr_FR" w:bidi="fr_FR"/>
        </w:rPr>
        <w:t>). La liste contient les lignées de Guerschom (</w:t>
      </w:r>
      <w:hyperlink r:id="rId97">
        <w:r>
          <w:rPr>
            <w:lang w:val="fr_FR" w:bidi="fr_FR"/>
          </w:rPr>
          <w:rPr>
            <w:color w:val="0000EE"/>
            <w:u w:val="single"/>
          </w:rPr>
          <w:t>6.20–21</w:t>
        </w:r>
      </w:hyperlink>
      <w:r>
        <w:rPr>
          <w:lang w:val="fr_FR" w:bidi="fr_FR"/>
        </w:rPr>
        <w:t>), Kehath (</w:t>
      </w:r>
      <w:hyperlink r:id="rId98">
        <w:r>
          <w:rPr>
            <w:lang w:val="fr_FR" w:bidi="fr_FR"/>
          </w:rPr>
          <w:rPr>
            <w:color w:val="0000EE"/>
            <w:u w:val="single"/>
          </w:rPr>
          <w:t>6.22–24</w:t>
        </w:r>
      </w:hyperlink>
      <w:r>
        <w:rPr>
          <w:lang w:val="fr_FR" w:bidi="fr_FR"/>
        </w:rPr>
        <w:t>), et Merari (</w:t>
      </w:r>
      <w:hyperlink r:id="rId99">
        <w:r>
          <w:rPr>
            <w:lang w:val="fr_FR" w:bidi="fr_FR"/>
          </w:rPr>
          <w:rPr>
            <w:color w:val="0000EE"/>
            <w:u w:val="single"/>
          </w:rPr>
          <w:t>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hyperlink r:id="rId100">
        <w:r>
          <w:rPr>
            <w:lang w:val="fr_FR" w:bidi="fr_FR"/>
          </w:rPr>
          <w:rPr>
            <w:color w:val="0000EE"/>
            <w:u w:val="single"/>
          </w:rPr>
          <w:t>1S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hyperlink r:id="rId101">
        <w:r>
          <w:rPr>
            <w:lang w:val="fr_FR" w:bidi="fr_FR"/>
          </w:rPr>
          <w:rPr>
            <w:color w:val="0000EE"/>
            <w:u w:val="single"/>
          </w:rPr>
          <w:t>6.33</w:t>
        </w:r>
      </w:hyperlink>
      <w:r>
        <w:rPr>
          <w:lang w:val="fr_FR" w:bidi="fr_FR"/>
        </w:rPr>
        <w:t>), Guerschom (</w:t>
      </w:r>
      <w:hyperlink r:id="rId102">
        <w:r>
          <w:rPr>
            <w:lang w:val="fr_FR" w:bidi="fr_FR"/>
          </w:rPr>
          <w:rPr>
            <w:color w:val="0000EE"/>
            <w:u w:val="single"/>
          </w:rPr>
          <w:t>6.39</w:t>
        </w:r>
      </w:hyperlink>
      <w:r>
        <w:rPr>
          <w:lang w:val="fr_FR" w:bidi="fr_FR"/>
        </w:rPr>
        <w:t>), et Merari (</w:t>
      </w:r>
      <w:hyperlink r:id="rId103">
        <w:r>
          <w:rPr>
            <w:lang w:val="fr_FR" w:bidi="fr_FR"/>
          </w:rPr>
          <w:rPr>
            <w:color w:val="0000EE"/>
            <w:u w:val="single"/>
          </w:rPr>
          <w:t>6.44</w:t>
        </w:r>
      </w:hyperlink>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hyperlink r:id="rId104">
        <w:r>
          <w:rPr>
            <w:lang w:val="fr_FR" w:bidi="fr_FR"/>
          </w:rPr>
          <w:rPr>
            <w:color w:val="0000EE"/>
            <w:u w:val="single"/>
          </w:rPr>
          <w:t>Ps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hyperlink r:id="rId105">
        <w:r>
          <w:rPr>
            <w:lang w:val="fr_FR" w:bidi="fr_FR"/>
          </w:rPr>
          <w:rPr>
            <w:color w:val="0000EE"/>
            <w:u w:val="single"/>
          </w:rPr>
          <w:t xml:space="preserve">Ps 50 </w:t>
        </w:r>
      </w:hyperlink>
      <w:r>
        <w:rPr>
          <w:lang w:val="fr_FR" w:bidi="fr_FR"/>
        </w:rPr>
        <w:t xml:space="preserve">; </w:t>
      </w:r>
      <w:hyperlink r:id="rId106">
        <w:r>
          <w:rPr>
            <w:lang w:val="fr_FR" w:bidi="fr_FR"/>
          </w:rPr>
          <w:rPr>
            <w:color w:val="0000EE"/>
            <w:u w:val="single"/>
          </w:rPr>
          <w:t>73–83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hyperlink r:id="rId107">
        <w:r>
          <w:rPr>
            <w:lang w:val="fr_FR" w:bidi="fr_FR"/>
          </w:rPr>
          <w:rPr>
            <w:color w:val="0000EE"/>
            <w:u w:val="single"/>
          </w:rPr>
          <w:t>6.54–81</w:t>
        </w:r>
      </w:hyperlink>
      <w:r>
        <w:rPr>
          <w:lang w:val="fr_FR" w:bidi="fr_FR"/>
        </w:rPr>
        <w:t>). La liste s’étend jusqu’à l’époque de David, lorsque Achimaats a servi (</w:t>
      </w:r>
      <w:hyperlink r:id="rId108">
        <w:r>
          <w:rPr>
            <w:lang w:val="fr_FR" w:bidi="fr_FR"/>
          </w:rPr>
          <w:rPr>
            <w:color w:val="0000EE"/>
            <w:u w:val="single"/>
          </w:rPr>
          <w:t>2S 15.36</w:t>
        </w:r>
      </w:hyperlink>
      <w:r>
        <w:rPr>
          <w:lang w:val="fr_FR" w:bidi="fr_FR"/>
        </w:rPr>
        <w:t xml:space="preserve"> ; </w:t>
      </w:r>
      <w:hyperlink r:id="rId109">
        <w:r>
          <w:rPr>
            <w:lang w:val="fr_FR" w:bidi="fr_FR"/>
          </w:rPr>
          <w:rPr>
            <w:color w:val="0000EE"/>
            <w:u w:val="single"/>
          </w:rPr>
          <w:t>17.17–29</w:t>
        </w:r>
      </w:hyperlink>
      <w:r>
        <w:rPr>
          <w:lang w:val="fr_FR" w:bidi="fr_FR"/>
        </w:rPr>
        <w:t xml:space="preserve"> ; </w:t>
      </w:r>
      <w:hyperlink r:id="rId110">
        <w:r>
          <w:rPr>
            <w:lang w:val="fr_FR" w:bidi="fr_FR"/>
          </w:rPr>
          <w:rPr>
            <w:color w:val="0000EE"/>
            <w:u w:val="single"/>
          </w:rPr>
          <w:t>18.19–29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hyperlink r:id="rId111">
        <w:r>
          <w:rPr>
            <w:lang w:val="fr_FR" w:bidi="fr_FR"/>
          </w:rPr>
          <w:rPr>
            <w:color w:val="0000EE"/>
            <w:u w:val="single"/>
          </w:rPr>
          <w:t>Jos 21</w:t>
        </w:r>
      </w:hyperlink>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2">
        <w:r>
          <w:rPr>
            <w:lang w:val="fr_FR" w:bidi="fr_FR"/>
          </w:rPr>
          <w:rPr>
            <w:color w:val="0000EE"/>
            <w:u w:val="single"/>
          </w:rPr>
          <w:t>8.8</w:t>
        </w:r>
      </w:hyperlink>
      <w:r>
        <w:rPr>
          <w:lang w:val="fr_FR" w:bidi="fr_FR"/>
        </w:rPr>
        <w:t xml:space="preserve">, </w:t>
      </w:r>
      <w:hyperlink r:id="rId113">
        <w:r>
          <w:rPr>
            <w:lang w:val="fr_FR" w:bidi="fr_FR"/>
          </w:rPr>
          <w:rPr>
            <w:color w:val="0000EE"/>
            <w:u w:val="single"/>
          </w:rPr>
          <w:t>11</w:t>
        </w:r>
      </w:hyperlink>
      <w:r>
        <w:rPr>
          <w:lang w:val="fr_FR" w:bidi="fr_FR"/>
        </w:rPr>
        <w:t xml:space="preserve"> ; </w:t>
      </w:r>
      <w:hyperlink r:id="rId114">
        <w:r>
          <w:rPr>
            <w:lang w:val="fr_FR" w:bidi="fr_FR"/>
          </w:rPr>
          <w:rPr>
            <w:color w:val="0000EE"/>
            <w:u w:val="single"/>
          </w:rPr>
          <w:t>Gn 46.21</w:t>
        </w:r>
      </w:hyperlink>
      <w:r>
        <w:rPr>
          <w:lang w:val="fr_FR" w:bidi="fr_FR"/>
        </w:rPr>
        <w:t xml:space="preserve"> ; </w:t>
      </w:r>
      <w:hyperlink r:id="rId115">
        <w:r>
          <w:rPr>
            <w:lang w:val="fr_FR" w:bidi="fr_FR"/>
          </w:rPr>
          <w:rPr>
            <w:color w:val="0000EE"/>
            <w:u w:val="single"/>
          </w:rPr>
          <w:t>Nb 26.39</w:t>
        </w:r>
      </w:hyperlink>
      <w:r>
        <w:rPr>
          <w:lang w:val="fr_FR" w:bidi="fr_FR"/>
        </w:rPr>
        <w:t xml:space="preserve">). Si le texte hébreu a effectivement disparu partiellement, Huschim pourrait être un descendant de Dan (cf. </w:t>
      </w:r>
      <w:hyperlink r:id="rId116">
        <w:r>
          <w:rPr>
            <w:lang w:val="fr_FR" w:bidi="fr_FR"/>
          </w:rPr>
          <w:rPr>
            <w:color w:val="0000EE"/>
            <w:u w:val="single"/>
          </w:rPr>
          <w:t>Gn 46.23</w:t>
        </w:r>
      </w:hyperlink>
      <w:r>
        <w:rPr>
          <w:lang w:val="fr_FR" w:bidi="fr_FR"/>
        </w:rPr>
        <w:t xml:space="preserve"> ; </w:t>
      </w:r>
      <w:hyperlink r:id="rId117">
        <w:r>
          <w:rPr>
            <w:lang w:val="fr_FR" w:bidi="fr_FR"/>
          </w:rPr>
          <w:rPr>
            <w:color w:val="0000EE"/>
            <w:u w:val="single"/>
          </w:rPr>
          <w:t>Nb 26.42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hyperlink r:id="rId118">
        <w:r>
          <w:rPr>
            <w:lang w:val="fr_FR" w:bidi="fr_FR"/>
          </w:rPr>
          <w:rPr>
            <w:color w:val="0000EE"/>
            <w:u w:val="single"/>
          </w:rPr>
          <w:t>Gn 46.24</w:t>
        </w:r>
      </w:hyperlink>
      <w:r>
        <w:rPr>
          <w:lang w:val="fr_FR" w:bidi="fr_FR"/>
        </w:rPr>
        <w:t xml:space="preserve"> ; </w:t>
      </w:r>
      <w:hyperlink r:id="rId119">
        <w:r>
          <w:rPr>
            <w:lang w:val="fr_FR" w:bidi="fr_FR"/>
          </w:rPr>
          <w:rPr>
            <w:color w:val="0000EE"/>
            <w:u w:val="single"/>
          </w:rPr>
          <w:t>Nb 26.48–50</w:t>
        </w:r>
      </w:hyperlink>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1">
        <w:r>
          <w:rPr>
            <w:lang w:val="fr_FR" w:bidi="fr_FR"/>
          </w:rPr>
          <w:rPr>
            <w:color w:val="0000EE"/>
            <w:u w:val="single"/>
          </w:rPr>
          <w:t>2R 15.29</w:t>
        </w:r>
      </w:hyperlink>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hyperlink r:id="rId120">
        <w:r>
          <w:rPr>
            <w:lang w:val="fr_FR" w:bidi="fr_FR"/>
          </w:rPr>
          <w:rPr>
            <w:color w:val="0000EE"/>
            <w:u w:val="single"/>
          </w:rPr>
          <w:t>7.15–16</w:t>
        </w:r>
      </w:hyperlink>
      <w:r>
        <w:rPr>
          <w:lang w:val="fr_FR" w:bidi="fr_FR"/>
        </w:rPr>
        <w:t>) ; (2) Huppim et Schuppim ont été mentionnés plus tôt avec Benjamin (</w:t>
      </w:r>
      <w:hyperlink r:id="rId121">
        <w:r>
          <w:rPr>
            <w:lang w:val="fr_FR" w:bidi="fr_FR"/>
          </w:rPr>
          <w:rPr>
            <w:color w:val="0000EE"/>
            <w:u w:val="single"/>
          </w:rPr>
          <w:t>7.12</w:t>
        </w:r>
      </w:hyperlink>
      <w:r>
        <w:rPr>
          <w:lang w:val="fr_FR" w:bidi="fr_FR"/>
        </w:rPr>
        <w:t>), pas avec Manassé ; (3) ceux considérés comme Galaadites (</w:t>
      </w:r>
      <w:hyperlink r:id="rId122">
        <w:r>
          <w:rPr>
            <w:lang w:val="fr_FR" w:bidi="fr_FR"/>
          </w:rPr>
          <w:rPr>
            <w:color w:val="0000EE"/>
            <w:u w:val="single"/>
          </w:rPr>
          <w:t>7.16–17</w:t>
        </w:r>
      </w:hyperlink>
      <w:r>
        <w:rPr>
          <w:lang w:val="fr_FR" w:bidi="fr_FR"/>
        </w:rPr>
        <w:t xml:space="preserve">) sont plutôt liés de manière ambiguë à Galaad, dont les descendants directs ne sont pas mentionnés (cf. </w:t>
      </w:r>
      <w:hyperlink r:id="rId123">
        <w:r>
          <w:rPr>
            <w:lang w:val="fr_FR" w:bidi="fr_FR"/>
          </w:rPr>
          <w:rPr>
            <w:color w:val="0000EE"/>
            <w:u w:val="single"/>
          </w:rPr>
          <w:t>Nb 26.30–33</w:t>
        </w:r>
      </w:hyperlink>
      <w:r>
        <w:rPr>
          <w:lang w:val="fr_FR" w:bidi="fr_FR"/>
        </w:rPr>
        <w:t>) ; (4) les fils de Schemida ne sont pas reliés à la généalogie (</w:t>
      </w:r>
      <w:hyperlink r:id="rId124">
        <w:r>
          <w:rPr>
            <w:lang w:val="fr_FR" w:bidi="fr_FR"/>
          </w:rPr>
          <w:rPr>
            <w:color w:val="0000EE"/>
            <w:u w:val="single"/>
          </w:rPr>
          <w:t>1Ch 7.19</w:t>
        </w:r>
      </w:hyperlink>
      <w:r>
        <w:rPr>
          <w:lang w:val="fr_FR" w:bidi="fr_FR"/>
        </w:rPr>
        <w:t>) ; Schemida était l’un des descendants de Galaad (</w:t>
      </w:r>
      <w:hyperlink r:id="rId125">
        <w:r>
          <w:rPr>
            <w:lang w:val="fr_FR" w:bidi="fr_FR"/>
          </w:rPr>
          <w:rPr>
            <w:color w:val="0000EE"/>
            <w:u w:val="single"/>
          </w:rPr>
          <w:t>Nb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hyperlink r:id="rId126">
        <w:r>
          <w:rPr>
            <w:lang w:val="fr_FR" w:bidi="fr_FR"/>
          </w:rPr>
          <w:rPr>
            <w:color w:val="0000EE"/>
            <w:u w:val="single"/>
          </w:rPr>
          <w:t>7.21–24</w:t>
        </w:r>
      </w:hyperlink>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hyperlink r:id="rId127">
        <w:r>
          <w:rPr>
            <w:lang w:val="fr_FR" w:bidi="fr_FR"/>
          </w:rPr>
          <w:rPr>
            <w:color w:val="0000EE"/>
            <w:u w:val="single"/>
          </w:rPr>
          <w:t>8.3</w:t>
        </w:r>
      </w:hyperlink>
      <w:r>
        <w:rPr>
          <w:lang w:val="fr_FR" w:bidi="fr_FR"/>
        </w:rPr>
        <w:t xml:space="preserve">, </w:t>
      </w:r>
      <w:hyperlink r:id="rId128">
        <w:r>
          <w:rPr>
            <w:lang w:val="fr_FR" w:bidi="fr_FR"/>
          </w:rPr>
          <w:rPr>
            <w:color w:val="0000EE"/>
            <w:u w:val="single"/>
          </w:rPr>
          <w:t>5</w:t>
        </w:r>
      </w:hyperlink>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hyperlink r:id="rId129">
        <w:r>
          <w:rPr>
            <w:lang w:val="fr_FR" w:bidi="fr_FR"/>
          </w:rPr>
          <w:rPr>
            <w:color w:val="0000EE"/>
            <w:u w:val="single"/>
          </w:rPr>
          <w:t>8.6–7</w:t>
        </w:r>
      </w:hyperlink>
      <w:r>
        <w:rPr>
          <w:lang w:val="fr_FR" w:bidi="fr_FR"/>
        </w:rPr>
        <w:t>) et de Schacharaïm (</w:t>
      </w:r>
      <w:hyperlink r:id="rId130">
        <w:r>
          <w:rPr>
            <w:lang w:val="fr_FR" w:bidi="fr_FR"/>
          </w:rPr>
          <w:rPr>
            <w:color w:val="0000EE"/>
            <w:u w:val="single"/>
          </w:rPr>
          <w:t>8.8–28</w:t>
        </w:r>
      </w:hyperlink>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hyperlink r:id="rId131">
        <w:r>
          <w:rPr>
            <w:lang w:val="fr_FR" w:bidi="fr_FR"/>
          </w:rPr>
          <w:rPr>
            <w:color w:val="0000EE"/>
            <w:u w:val="single"/>
          </w:rPr>
          <w:t>1Ch 8.38–40</w:t>
        </w:r>
      </w:hyperlink>
      <w:r>
        <w:rPr>
          <w:lang w:val="fr_FR" w:bidi="fr_FR"/>
        </w:rPr>
        <w:t>). Micah (</w:t>
      </w:r>
      <w:hyperlink r:id="rId132">
        <w:r>
          <w:rPr>
            <w:lang w:val="fr_FR" w:bidi="fr_FR"/>
          </w:rPr>
          <w:rPr>
            <w:color w:val="0000EE"/>
            <w:u w:val="single"/>
          </w:rPr>
          <w:t>8.35</w:t>
        </w:r>
      </w:hyperlink>
      <w:r>
        <w:rPr>
          <w:lang w:val="fr_FR" w:bidi="fr_FR"/>
        </w:rPr>
        <w:t>) a vécu à l’époque de Salomon, et Ulam (</w:t>
      </w:r>
      <w:hyperlink r:id="rId133">
        <w:r>
          <w:rPr>
            <w:lang w:val="fr_FR" w:bidi="fr_FR"/>
          </w:rPr>
          <w:rPr>
            <w:color w:val="0000EE"/>
            <w:u w:val="single"/>
          </w:rPr>
          <w:t>8.39</w:t>
        </w:r>
      </w:hyperlink>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hyperlink r:id="rId80">
        <w:r>
          <w:rPr>
            <w:lang w:val="fr_FR" w:bidi="fr_FR"/>
          </w:rPr>
          <w:rPr>
            <w:color w:val="0000EE"/>
            <w:u w:val="single"/>
          </w:rPr>
          <w:t xml:space="preserve">1Ch 5.25–26 </w:t>
        </w:r>
      </w:hyperlink>
      <w:r>
        <w:rPr>
          <w:lang w:val="fr_FR" w:bidi="fr_FR"/>
        </w:rPr>
        <w:t xml:space="preserve">; </w:t>
      </w:r>
      <w:hyperlink r:id="rId134">
        <w:r>
          <w:rPr>
            <w:lang w:val="fr_FR" w:bidi="fr_FR"/>
          </w:rPr>
          <w:rPr>
            <w:color w:val="0000EE"/>
            <w:u w:val="single"/>
          </w:rPr>
          <w:t xml:space="preserve">6.15 </w:t>
        </w:r>
      </w:hyperlink>
      <w:r>
        <w:rPr>
          <w:lang w:val="fr_FR" w:bidi="fr_FR"/>
        </w:rPr>
        <w:t xml:space="preserve">; voir </w:t>
      </w:r>
      <w:hyperlink r:id="rId135">
        <w:r>
          <w:rPr>
            <w:lang w:val="fr_FR" w:bidi="fr_FR"/>
          </w:rPr>
          <w:rPr>
            <w:color w:val="0000EE"/>
            <w:u w:val="single"/>
          </w:rPr>
          <w:t>2Ch 36.20–21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6">
        <w:r>
          <w:rPr>
            <w:lang w:val="fr_FR" w:bidi="fr_FR"/>
          </w:rPr>
          <w:rPr>
            <w:color w:val="0000EE"/>
            <w:u w:val="single"/>
          </w:rPr>
          <w:t>9.19–22</w:t>
        </w:r>
      </w:hyperlink>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hyperlink r:id="rId137">
        <w:r>
          <w:rPr>
            <w:lang w:val="fr_FR" w:bidi="fr_FR"/>
          </w:rPr>
          <w:rPr>
            <w:color w:val="0000EE"/>
            <w:u w:val="single"/>
          </w:rPr>
          <w:t>Ex 25.8–30.38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hyperlink r:id="rId13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hyperlink r:id="rId139">
        <w:r>
          <w:rPr>
            <w:lang w:val="fr_FR" w:bidi="fr_FR"/>
          </w:rPr>
          <w:rPr>
            <w:color w:val="0000EE"/>
            <w:u w:val="single"/>
          </w:rPr>
          <w:t>Ex 25.23–30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hyperlink r:id="rId140">
        <w:r>
          <w:rPr>
            <w:lang w:val="fr_FR" w:bidi="fr_FR"/>
          </w:rPr>
          <w:rPr>
            <w:color w:val="0000EE"/>
            <w:u w:val="single"/>
          </w:rPr>
          <w:t>9.3</w:t>
        </w:r>
      </w:hyperlink>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hyperlink r:id="rId141">
        <w:r>
          <w:rPr>
            <w:lang w:val="fr_FR" w:bidi="fr_FR"/>
          </w:rPr>
          <w:rPr>
            <w:color w:val="0000EE"/>
            <w:u w:val="single"/>
          </w:rPr>
          <w:t>9.10–33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hyperlink r:id="rId142">
        <w:r>
          <w:rPr>
            <w:lang w:val="fr_FR" w:bidi="fr_FR"/>
          </w:rPr>
          <w:rPr>
            <w:color w:val="0000EE"/>
            <w:u w:val="single"/>
          </w:rPr>
          <w:t>8.29–40</w:t>
        </w:r>
      </w:hyperlink>
      <w:r>
        <w:rPr>
          <w:lang w:val="fr_FR" w:bidi="fr_FR"/>
        </w:rPr>
        <w:t xml:space="preserve">) ; la répétition de cette information permet une transition des généalogies aux récits, en commençant par l’histoire de la mort de Saül (ch </w:t>
      </w:r>
      <w:hyperlink r:id="rId1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hyperlink r:id="rId144">
        <w:r>
          <w:rPr>
            <w:lang w:val="fr_FR" w:bidi="fr_FR"/>
          </w:rPr>
          <w:rPr>
            <w:color w:val="0000EE"/>
            <w:u w:val="single"/>
          </w:rPr>
          <w:t>1S 31.6</w:t>
        </w:r>
      </w:hyperlink>
      <w:r>
        <w:rPr>
          <w:lang w:val="fr_FR" w:bidi="fr_FR"/>
        </w:rPr>
        <w:t>), mettant en avant l’action de Dieu qui soustrait Saül et le remplace par David (</w:t>
      </w:r>
      <w:hyperlink r:id="rId145">
        <w:r>
          <w:rPr>
            <w:lang w:val="fr_FR" w:bidi="fr_FR"/>
          </w:rPr>
          <w:rPr>
            <w:color w:val="0000EE"/>
            <w:u w:val="single"/>
          </w:rPr>
          <w:t>1Ch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hyperlink r:id="rId146">
        <w:r>
          <w:rPr>
            <w:lang w:val="fr_FR" w:bidi="fr_FR"/>
          </w:rPr>
          <w:rPr>
            <w:color w:val="0000EE"/>
            <w:u w:val="single"/>
          </w:rPr>
          <w:t>3.4</w:t>
        </w:r>
      </w:hyperlink>
      <w:r>
        <w:rPr>
          <w:lang w:val="fr_FR" w:bidi="fr_FR"/>
        </w:rPr>
        <w:t xml:space="preserve"> ; </w:t>
      </w:r>
      <w:hyperlink r:id="rId147">
        <w:r>
          <w:rPr>
            <w:lang w:val="fr_FR" w:bidi="fr_FR"/>
          </w:rPr>
          <w:rPr>
            <w:color w:val="0000EE"/>
            <w:u w:val="single"/>
          </w:rPr>
          <w:t>2S 5.5</w:t>
        </w:r>
      </w:hyperlink>
      <w:r>
        <w:rPr>
          <w:lang w:val="fr_FR" w:bidi="fr_FR"/>
        </w:rPr>
        <w:t xml:space="preserve">). Le Chroniqueur omet le récit de cette période (voir </w:t>
      </w:r>
      <w:hyperlink r:id="rId148">
        <w:r>
          <w:rPr>
            <w:lang w:val="fr_FR" w:bidi="fr_FR"/>
          </w:rPr>
          <w:rPr>
            <w:color w:val="0000EE"/>
            <w:u w:val="single"/>
          </w:rPr>
          <w:t>2S 2–4</w:t>
        </w:r>
      </w:hyperlink>
      <w:r>
        <w:rPr>
          <w:lang w:val="fr_FR" w:bidi="fr_FR"/>
        </w:rPr>
        <w:t xml:space="preserve">) et se concentre sur le règne de David sur l’ensemble de la nation pendant 33 ans et demi, en commençant par son alliance avec tous les anciens d’Israël à Hébron (voir </w:t>
      </w:r>
      <w:hyperlink r:id="rId149">
        <w:r>
          <w:rPr>
            <w:lang w:val="fr_FR" w:bidi="fr_FR"/>
          </w:rPr>
          <w:rPr>
            <w:color w:val="0000EE"/>
            <w:u w:val="single"/>
          </w:rPr>
          <w:t>2S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hyperlink r:id="rId150">
        <w:r>
          <w:rPr>
            <w:lang w:val="fr_FR" w:bidi="fr_FR"/>
          </w:rPr>
          <w:rPr>
            <w:color w:val="0000EE"/>
            <w:u w:val="single"/>
          </w:rPr>
          <w:t>11.3</w:t>
        </w:r>
      </w:hyperlink>
      <w:r>
        <w:rPr>
          <w:lang w:val="fr_FR" w:bidi="fr_FR"/>
        </w:rPr>
        <w:t xml:space="preserve"> ; </w:t>
      </w:r>
      <w:hyperlink r:id="rId151">
        <w:r>
          <w:rPr>
            <w:lang w:val="fr_FR" w:bidi="fr_FR"/>
          </w:rPr>
          <w:rPr>
            <w:color w:val="0000EE"/>
            <w:u w:val="single"/>
          </w:rPr>
          <w:t>1S 16.11–14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hyperlink r:id="rId152">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hyperlink r:id="rId153">
        <w:r>
          <w:rPr>
            <w:lang w:val="fr_FR" w:bidi="fr_FR"/>
          </w:rPr>
          <w:rPr>
            <w:color w:val="0000EE"/>
            <w:u w:val="single"/>
          </w:rPr>
          <w:t>2S 23</w:t>
        </w:r>
      </w:hyperlink>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4">
        <w:r>
          <w:rPr>
            <w:lang w:val="fr_FR" w:bidi="fr_FR"/>
          </w:rPr>
          <w:rPr>
            <w:color w:val="0000EE"/>
            <w:u w:val="single"/>
          </w:rPr>
          <w:t>12.2</w:t>
        </w:r>
      </w:hyperlink>
      <w:r>
        <w:rPr>
          <w:lang w:val="fr_FR" w:bidi="fr_FR"/>
        </w:rPr>
        <w:t>). Bien sûr, David était prudent avec ces déserteurs (</w:t>
      </w:r>
      <w:hyperlink r:id="rId155">
        <w:r>
          <w:rPr>
            <w:lang w:val="fr_FR" w:bidi="fr_FR"/>
          </w:rPr>
          <w:rPr>
            <w:color w:val="0000EE"/>
            <w:u w:val="single"/>
          </w:rPr>
          <w:t>12.17</w:t>
        </w:r>
      </w:hyperlink>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hyperlink r:id="rId156">
        <w:r>
          <w:rPr>
            <w:lang w:val="fr_FR" w:bidi="fr_FR"/>
          </w:rPr>
          <w:rPr>
            <w:color w:val="0000EE"/>
            <w:u w:val="single"/>
          </w:rPr>
          <w:t>12.29</w:t>
        </w:r>
      </w:hyperlink>
      <w:r>
        <w:rPr>
          <w:lang w:val="fr_FR" w:bidi="fr_FR"/>
        </w:rPr>
        <w:t>), pour confirmer le règne de David montrait que l’animosité de la guerre entre différentes tribus après la mort de Saül avait été surmontée (</w:t>
      </w:r>
      <w:hyperlink r:id="rId157">
        <w:r>
          <w:rPr>
            <w:lang w:val="fr_FR" w:bidi="fr_FR"/>
          </w:rPr>
          <w:rPr>
            <w:color w:val="0000EE"/>
            <w:u w:val="single"/>
          </w:rPr>
          <w:t>12.23–37</w:t>
        </w:r>
      </w:hyperlink>
      <w:r>
        <w:rPr>
          <w:lang w:val="fr_FR" w:bidi="fr_FR"/>
        </w:rPr>
        <w:t>). Le Chroniqueur souligne l’unité parmi les tribus avec la déclaration qu’elles avaient toutes, sans réserve, le seul but de faire de David le roi sur tout Israël (</w:t>
      </w:r>
      <w:hyperlink r:id="rId158">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hyperlink r:id="rId159">
        <w:r>
          <w:rPr>
            <w:lang w:val="fr_FR" w:bidi="fr_FR"/>
          </w:rPr>
          <w:rPr>
            <w:color w:val="0000EE"/>
            <w:u w:val="single"/>
          </w:rPr>
          <w:t>13.1–14</w:t>
        </w:r>
      </w:hyperlink>
      <w:r>
        <w:rPr>
          <w:lang w:val="fr_FR" w:bidi="fr_FR"/>
        </w:rPr>
        <w:t xml:space="preserve"> ; cf. </w:t>
      </w:r>
      <w:hyperlink r:id="rId160">
        <w:r>
          <w:rPr>
            <w:lang w:val="fr_FR" w:bidi="fr_FR"/>
          </w:rPr>
          <w:rPr>
            <w:color w:val="0000EE"/>
            <w:u w:val="single"/>
          </w:rPr>
          <w:t>2S 6.2–11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hyperlink r:id="rId1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hyperlink r:id="rId159">
        <w:r>
          <w:rPr>
            <w:lang w:val="fr_FR" w:bidi="fr_FR"/>
          </w:rPr>
          <w:rPr>
            <w:color w:val="0000EE"/>
            <w:u w:val="single"/>
          </w:rPr>
          <w:t>13.1–14</w:t>
        </w:r>
      </w:hyperlink>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2">
        <w:r>
          <w:rPr>
            <w:lang w:val="fr_FR" w:bidi="fr_FR"/>
          </w:rPr>
          <w:rPr>
            <w:color w:val="0000EE"/>
            <w:u w:val="single"/>
          </w:rPr>
          <w:t>15.1–29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3">
        <w:r>
          <w:rPr>
            <w:lang w:val="fr_FR" w:bidi="fr_FR"/>
          </w:rPr>
          <w:rPr>
            <w:color w:val="0000EE"/>
            <w:u w:val="single"/>
          </w:rPr>
          <w:t>Jos 15.8</w:t>
        </w:r>
      </w:hyperlink>
      <w:r>
        <w:rPr>
          <w:lang w:val="fr_FR" w:bidi="fr_FR"/>
        </w:rPr>
        <w:t>). David a consulté le Seigneur avant la bataille, un contraste direct avec Saül qui avait consulté un médium pour chercher de l’aide contre les Philistins (</w:t>
      </w:r>
      <w:hyperlink r:id="rId164">
        <w:r>
          <w:rPr>
            <w:lang w:val="fr_FR" w:bidi="fr_FR"/>
          </w:rPr>
          <w:rPr>
            <w:color w:val="0000EE"/>
            <w:u w:val="single"/>
          </w:rPr>
          <w:t>1Ch 10.13</w:t>
        </w:r>
      </w:hyperlink>
      <w:r>
        <w:rPr>
          <w:lang w:val="fr_FR" w:bidi="fr_FR"/>
        </w:rPr>
        <w:t xml:space="preserve"> ; voir </w:t>
      </w:r>
      <w:hyperlink r:id="rId165">
        <w:r>
          <w:rPr>
            <w:lang w:val="fr_FR" w:bidi="fr_FR"/>
          </w:rPr>
          <w:rPr>
            <w:color w:val="0000EE"/>
            <w:u w:val="single"/>
          </w:rPr>
          <w:t>1S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hyperlink r:id="rId166">
        <w:r>
          <w:rPr>
            <w:lang w:val="fr_FR" w:bidi="fr_FR"/>
          </w:rPr>
          <w:rPr>
            <w:color w:val="0000EE"/>
            <w:u w:val="single"/>
          </w:rPr>
          <w:t>Dt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hyperlink r:id="rId159">
        <w:r>
          <w:rPr>
            <w:lang w:val="fr_FR" w:bidi="fr_FR"/>
          </w:rPr>
          <w:rPr>
            <w:color w:val="0000EE"/>
            <w:u w:val="single"/>
          </w:rPr>
          <w:t>13.1–14</w:t>
        </w:r>
      </w:hyperlink>
      <w:r>
        <w:rPr>
          <w:lang w:val="fr_FR" w:bidi="fr_FR"/>
        </w:rPr>
        <w:t xml:space="preserve">) a échoué en raison d'une procédure incorrecte (voir </w:t>
      </w:r>
      <w:hyperlink r:id="rId161">
        <w:r>
          <w:rPr>
            <w:lang w:val="fr_FR" w:bidi="fr_FR"/>
          </w:rPr>
          <w:rPr>
            <w:color w:val="0000EE"/>
            <w:u w:val="single"/>
          </w:rPr>
          <w:t>15.13</w:t>
        </w:r>
      </w:hyperlink>
      <w:r>
        <w:rPr>
          <w:lang w:val="fr_FR" w:bidi="fr_FR"/>
        </w:rPr>
        <w:t>). Cette fois, David a préparé un lieu pour l'Arche à Jérusalem et a organisé les Lévites pour porter l'Arche, car c'était leur responsabilité (</w:t>
      </w:r>
      <w:hyperlink r:id="rId167">
        <w:r>
          <w:rPr>
            <w:lang w:val="fr_FR" w:bidi="fr_FR"/>
          </w:rPr>
          <w:rPr>
            <w:color w:val="0000EE"/>
            <w:u w:val="single"/>
          </w:rPr>
          <w:t xml:space="preserve">Dt 10.8 </w:t>
        </w:r>
      </w:hyperlink>
      <w:r>
        <w:rPr>
          <w:lang w:val="fr_FR" w:bidi="fr_FR"/>
        </w:rPr>
        <w:t xml:space="preserve">; </w:t>
      </w:r>
      <w:hyperlink r:id="rId168">
        <w:r>
          <w:rPr>
            <w:lang w:val="fr_FR" w:bidi="fr_FR"/>
          </w:rPr>
          <w:rPr>
            <w:color w:val="0000EE"/>
            <w:u w:val="single"/>
          </w:rPr>
          <w:t>18.5</w:t>
        </w:r>
      </w:hyperlink>
      <w:r>
        <w:rPr>
          <w:lang w:val="fr_FR" w:bidi="fr_FR"/>
        </w:rPr>
        <w:t xml:space="preserve">). La tente spéciale que David a préparée pour l'Arche n'était pas le Tabernacle, qui était situé à Gabaon à l'époque (voir </w:t>
      </w:r>
      <w:hyperlink r:id="rId169">
        <w:r>
          <w:rPr>
            <w:lang w:val="fr_FR" w:bidi="fr_FR"/>
          </w:rPr>
          <w:rPr>
            <w:color w:val="0000EE"/>
            <w:u w:val="single"/>
          </w:rPr>
          <w:t xml:space="preserve">1Ch 16.39 </w:t>
        </w:r>
      </w:hyperlink>
      <w:r>
        <w:rPr>
          <w:lang w:val="fr_FR" w:bidi="fr_FR"/>
        </w:rPr>
        <w:t xml:space="preserve">; </w:t>
      </w:r>
      <w:hyperlink r:id="rId170">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hyperlink r:id="rId171">
        <w:r>
          <w:rPr>
            <w:lang w:val="fr_FR" w:bidi="fr_FR"/>
          </w:rPr>
          <w:rPr>
            <w:color w:val="0000EE"/>
            <w:u w:val="single"/>
          </w:rPr>
          <w:t>13.1–10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hyperlink r:id="rId172">
        <w:r>
          <w:rPr>
            <w:lang w:val="fr_FR" w:bidi="fr_FR"/>
          </w:rPr>
          <w:rPr>
            <w:color w:val="0000EE"/>
            <w:u w:val="single"/>
          </w:rPr>
          <w:t>15.19–22</w:t>
        </w:r>
      </w:hyperlink>
      <w:r>
        <w:rPr>
          <w:lang w:val="fr_FR" w:bidi="fr_FR"/>
        </w:rPr>
        <w:t xml:space="preserve"> ; </w:t>
      </w:r>
      <w:hyperlink r:id="rId173">
        <w:r>
          <w:rPr>
            <w:lang w:val="fr_FR" w:bidi="fr_FR"/>
          </w:rPr>
          <w:rPr>
            <w:color w:val="0000EE"/>
            <w:u w:val="single"/>
          </w:rPr>
          <w:t>16.4–6</w:t>
        </w:r>
      </w:hyperlink>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hyperlink r:id="rId174">
        <w:r>
          <w:rPr>
            <w:lang w:val="fr_FR" w:bidi="fr_FR"/>
          </w:rPr>
          <w:rPr>
            <w:color w:val="0000EE"/>
            <w:u w:val="single"/>
          </w:rPr>
          <w:t>6.33–47</w:t>
        </w:r>
      </w:hyperlink>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hyperlink r:id="rId175">
        <w:r>
          <w:rPr>
            <w:lang w:val="fr_FR" w:bidi="fr_FR"/>
          </w:rPr>
          <w:rPr>
            <w:color w:val="0000EE"/>
            <w:u w:val="single"/>
          </w:rPr>
          <w:t>2S 6.16–23</w:t>
        </w:r>
      </w:hyperlink>
      <w:r>
        <w:rPr>
          <w:lang w:val="fr_FR" w:bidi="fr_FR"/>
        </w:rPr>
        <w:t>) envers David contraste fortement avec la bénédiction de Dieu sur la célébration (</w:t>
      </w:r>
      <w:hyperlink r:id="rId176">
        <w:r>
          <w:rPr>
            <w:lang w:val="fr_FR" w:bidi="fr_FR"/>
          </w:rPr>
          <w:rPr>
            <w:color w:val="0000EE"/>
            <w:u w:val="single"/>
          </w:rPr>
          <w:t>1Ch 15.26</w:t>
        </w:r>
      </w:hyperlink>
      <w:r>
        <w:rPr>
          <w:lang w:val="fr_FR" w:bidi="fr_FR"/>
        </w:rPr>
        <w:t xml:space="preserve">) ; sa description en tant que fille de Saül implique que son attitude reflétait le mépris de son père pour le Seigneur (voir </w:t>
      </w:r>
      <w:hyperlink r:id="rId177">
        <w:r>
          <w:rPr>
            <w:lang w:val="fr_FR" w:bidi="fr_FR"/>
          </w:rPr>
          <w:rPr>
            <w:color w:val="0000EE"/>
            <w:u w:val="single"/>
          </w:rPr>
          <w:t>1S 10.10–12</w:t>
        </w:r>
      </w:hyperlink>
      <w:r>
        <w:rPr>
          <w:lang w:val="fr_FR" w:bidi="fr_FR"/>
        </w:rPr>
        <w:t xml:space="preserve"> ; </w:t>
      </w:r>
      <w:hyperlink r:id="rId178">
        <w:r>
          <w:rPr>
            <w:lang w:val="fr_FR" w:bidi="fr_FR"/>
          </w:rPr>
          <w:rPr>
            <w:color w:val="0000EE"/>
            <w:u w:val="single"/>
          </w:rPr>
          <w:t>13.7–14</w:t>
        </w:r>
      </w:hyperlink>
      <w:r>
        <w:rPr>
          <w:lang w:val="fr_FR" w:bidi="fr_FR"/>
        </w:rPr>
        <w:t xml:space="preserve"> ; </w:t>
      </w:r>
      <w:hyperlink r:id="rId179">
        <w:r>
          <w:rPr>
            <w:lang w:val="fr_FR" w:bidi="fr_FR"/>
          </w:rPr>
          <w:rPr>
            <w:color w:val="0000EE"/>
            <w:u w:val="single"/>
          </w:rPr>
          <w:t>15.10–23</w:t>
        </w:r>
      </w:hyperlink>
      <w:r>
        <w:rPr>
          <w:lang w:val="fr_FR" w:bidi="fr_FR"/>
        </w:rPr>
        <w:t xml:space="preserve"> ; </w:t>
      </w:r>
      <w:hyperlink r:id="rId165">
        <w:r>
          <w:rPr>
            <w:lang w:val="fr_FR" w:bidi="fr_FR"/>
          </w:rPr>
          <w:rPr>
            <w:color w:val="0000EE"/>
            <w:u w:val="single"/>
          </w:rPr>
          <w:t>28.1–25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hyperlink r:id="rId180">
        <w:r>
          <w:rPr>
            <w:lang w:val="fr_FR" w:bidi="fr_FR"/>
          </w:rPr>
          <w:rPr>
            <w:color w:val="0000EE"/>
            <w:u w:val="single"/>
          </w:rPr>
          <w:t>16.1–3</w:t>
        </w:r>
      </w:hyperlink>
      <w:r>
        <w:rPr>
          <w:lang w:val="fr_FR" w:bidi="fr_FR"/>
        </w:rPr>
        <w:t>) et la conclusion de l’événement (</w:t>
      </w:r>
      <w:hyperlink r:id="rId181">
        <w:r>
          <w:rPr>
            <w:lang w:val="fr_FR" w:bidi="fr_FR"/>
          </w:rPr>
          <w:rPr>
            <w:color w:val="0000EE"/>
            <w:u w:val="single"/>
          </w:rPr>
          <w:t>16.43</w:t>
        </w:r>
      </w:hyperlink>
      <w:r>
        <w:rPr>
          <w:lang w:val="fr_FR" w:bidi="fr_FR"/>
        </w:rPr>
        <w:t xml:space="preserve">) sont rapportés exactement comme dans le deuxième livre de Samuel (voir </w:t>
      </w:r>
      <w:hyperlink r:id="rId182">
        <w:r>
          <w:rPr>
            <w:lang w:val="fr_FR" w:bidi="fr_FR"/>
          </w:rPr>
          <w:rPr>
            <w:color w:val="0000EE"/>
            <w:u w:val="single"/>
          </w:rPr>
          <w:t>2S 6.17–20</w:t>
        </w:r>
      </w:hyperlink>
      <w:r>
        <w:rPr>
          <w:lang w:val="fr_FR" w:bidi="fr_FR"/>
        </w:rPr>
        <w:t>). Cependant, ici le Chroniqueur développe les célébrations qui ont accompagné l’événement et les dispositions permanentes pour le culte (</w:t>
      </w:r>
      <w:hyperlink r:id="rId183">
        <w:r>
          <w:rPr>
            <w:lang w:val="fr_FR" w:bidi="fr_FR"/>
          </w:rPr>
          <w:rPr>
            <w:color w:val="0000EE"/>
            <w:u w:val="single"/>
          </w:rPr>
          <w:t>1Ch 16.4–42</w:t>
        </w:r>
      </w:hyperlink>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hyperlink r:id="rId184">
        <w:r>
          <w:rPr>
            <w:lang w:val="fr_FR" w:bidi="fr_FR"/>
          </w:rPr>
          <w:rPr>
            <w:color w:val="0000EE"/>
            <w:u w:val="single"/>
          </w:rPr>
          <w:t>16.8–22</w:t>
        </w:r>
      </w:hyperlink>
      <w:r>
        <w:rPr>
          <w:lang w:val="fr_FR" w:bidi="fr_FR"/>
        </w:rPr>
        <w:t xml:space="preserve"> s’inspirent des versets </w:t>
      </w:r>
      <w:hyperlink r:id="rId185">
        <w:r>
          <w:rPr>
            <w:lang w:val="fr_FR" w:bidi="fr_FR"/>
          </w:rPr>
          <w:rPr>
            <w:color w:val="0000EE"/>
            <w:u w:val="single"/>
          </w:rPr>
          <w:t>Ps 105.1–15</w:t>
        </w:r>
      </w:hyperlink>
      <w:r>
        <w:rPr>
          <w:lang w:val="fr_FR" w:bidi="fr_FR"/>
        </w:rPr>
        <w:t xml:space="preserve"> ; les versets </w:t>
      </w:r>
      <w:hyperlink r:id="rId186">
        <w:r>
          <w:rPr>
            <w:lang w:val="fr_FR" w:bidi="fr_FR"/>
          </w:rPr>
          <w:rPr>
            <w:color w:val="0000EE"/>
            <w:u w:val="single"/>
          </w:rPr>
          <w:t>1Ch 16.23–33</w:t>
        </w:r>
      </w:hyperlink>
      <w:r>
        <w:rPr>
          <w:lang w:val="fr_FR" w:bidi="fr_FR"/>
        </w:rPr>
        <w:t xml:space="preserve"> du chapitre </w:t>
      </w:r>
      <w:hyperlink r:id="rId187">
        <w:r>
          <w:rPr>
            <w:lang w:val="fr_FR" w:bidi="fr_FR"/>
          </w:rPr>
          <w:rPr>
            <w:color w:val="0000EE"/>
            <w:u w:val="single"/>
          </w:rPr>
          <w:t>Ps 96</w:t>
        </w:r>
      </w:hyperlink>
      <w:r>
        <w:rPr>
          <w:lang w:val="fr_FR" w:bidi="fr_FR"/>
        </w:rPr>
        <w:t xml:space="preserve"> ; et les versets </w:t>
      </w:r>
      <w:hyperlink r:id="rId188">
        <w:r>
          <w:rPr>
            <w:lang w:val="fr_FR" w:bidi="fr_FR"/>
          </w:rPr>
          <w:rPr>
            <w:color w:val="0000EE"/>
            <w:u w:val="single"/>
          </w:rPr>
          <w:t>1Ch 16.34–38</w:t>
        </w:r>
      </w:hyperlink>
      <w:r>
        <w:rPr>
          <w:lang w:val="fr_FR" w:bidi="fr_FR"/>
        </w:rPr>
        <w:t xml:space="preserve"> des versets </w:t>
      </w:r>
      <w:hyperlink r:id="rId189">
        <w:r>
          <w:rPr>
            <w:lang w:val="fr_FR" w:bidi="fr_FR"/>
          </w:rPr>
          <w:rPr>
            <w:color w:val="0000EE"/>
            <w:u w:val="single"/>
          </w:rPr>
          <w:t>Ps 106.1</w:t>
        </w:r>
      </w:hyperlink>
      <w:r>
        <w:rPr>
          <w:lang w:val="fr_FR" w:bidi="fr_FR"/>
        </w:rPr>
        <w:t xml:space="preserve">, </w:t>
      </w:r>
      <w:hyperlink r:id="rId190">
        <w:r>
          <w:rPr>
            <w:lang w:val="fr_FR" w:bidi="fr_FR"/>
          </w:rPr>
          <w:rPr>
            <w:color w:val="0000EE"/>
            <w:u w:val="single"/>
          </w:rPr>
          <w:t>47–48</w:t>
        </w:r>
      </w:hyperlink>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hyperlink r:id="rId191">
        <w:r>
          <w:rPr>
            <w:lang w:val="fr_FR" w:bidi="fr_FR"/>
          </w:rPr>
          <w:rPr>
            <w:color w:val="0000EE"/>
            <w:u w:val="single"/>
          </w:rPr>
          <w:t>1Ch 16.27</w:t>
        </w:r>
      </w:hyperlink>
      <w:r>
        <w:rPr>
          <w:lang w:val="fr_FR" w:bidi="fr_FR"/>
        </w:rPr>
        <w:t>) au lieu de « son sanctuaire » (</w:t>
      </w:r>
      <w:hyperlink r:id="rId192">
        <w:r>
          <w:rPr>
            <w:lang w:val="fr_FR" w:bidi="fr_FR"/>
          </w:rPr>
          <w:rPr>
            <w:color w:val="0000EE"/>
            <w:u w:val="single"/>
          </w:rPr>
          <w:t>Ps 96.6</w:t>
        </w:r>
      </w:hyperlink>
      <w:r>
        <w:rPr>
          <w:lang w:val="fr_FR" w:bidi="fr_FR"/>
        </w:rPr>
        <w:t>) et exige que l’adorateur vienne en sa présence (</w:t>
      </w:r>
      <w:hyperlink r:id="rId193">
        <w:r>
          <w:rPr>
            <w:lang w:val="fr_FR" w:bidi="fr_FR"/>
          </w:rPr>
          <w:rPr>
            <w:color w:val="0000EE"/>
            <w:u w:val="single"/>
          </w:rPr>
          <w:t>1Ch 16.29</w:t>
        </w:r>
      </w:hyperlink>
      <w:r>
        <w:rPr>
          <w:lang w:val="fr_FR" w:bidi="fr_FR"/>
        </w:rPr>
        <w:t>) au lieu de « dans ses parvis » (</w:t>
      </w:r>
      <w:hyperlink r:id="rId194">
        <w:r>
          <w:rPr>
            <w:lang w:val="fr_FR" w:bidi="fr_FR"/>
          </w:rPr>
          <w:rPr>
            <w:color w:val="0000EE"/>
            <w:u w:val="single"/>
          </w:rPr>
          <w:t>Ps 96.8</w:t>
        </w:r>
      </w:hyperlink>
      <w:r>
        <w:rPr>
          <w:lang w:val="fr_FR" w:bidi="fr_FR"/>
        </w:rPr>
        <w:t>). Le nom « Abraham » (</w:t>
      </w:r>
      <w:hyperlink r:id="rId195">
        <w:r>
          <w:rPr>
            <w:lang w:val="fr_FR" w:bidi="fr_FR"/>
          </w:rPr>
          <w:rPr>
            <w:color w:val="0000EE"/>
            <w:u w:val="single"/>
          </w:rPr>
          <w:t>Ps 105.9</w:t>
        </w:r>
      </w:hyperlink>
      <w:r>
        <w:rPr>
          <w:lang w:val="fr_FR" w:bidi="fr_FR"/>
        </w:rPr>
        <w:t>) est également changé en Israël (</w:t>
      </w:r>
      <w:hyperlink r:id="rId196">
        <w:r>
          <w:rPr>
            <w:lang w:val="fr_FR" w:bidi="fr_FR"/>
          </w:rPr>
          <w:rPr>
            <w:color w:val="0000EE"/>
            <w:u w:val="single"/>
          </w:rPr>
          <w:t>1Ch 16.13</w:t>
        </w:r>
      </w:hyperlink>
      <w:r>
        <w:rPr>
          <w:lang w:val="fr_FR" w:bidi="fr_FR"/>
        </w:rPr>
        <w:t>) pour se concentrer spécifiquement sur la nation en tant qu’accomplissement des promesses faites à Abraham. L’hymne ne mentionne pas le jugement de la terre (</w:t>
      </w:r>
      <w:hyperlink r:id="rId197">
        <w:r>
          <w:rPr>
            <w:lang w:val="fr_FR" w:bidi="fr_FR"/>
          </w:rPr>
          <w:rPr>
            <w:color w:val="0000EE"/>
            <w:u w:val="single"/>
          </w:rPr>
          <w:t>Ps 96.10</w:t>
        </w:r>
      </w:hyperlink>
      <w:r>
        <w:rPr>
          <w:lang w:val="fr_FR" w:bidi="fr_FR"/>
        </w:rPr>
        <w:t xml:space="preserve">, </w:t>
      </w:r>
      <w:hyperlink r:id="rId198">
        <w:r>
          <w:rPr>
            <w:lang w:val="fr_FR" w:bidi="fr_FR"/>
          </w:rPr>
          <w:rPr>
            <w:color w:val="0000EE"/>
            <w:u w:val="single"/>
          </w:rPr>
          <w:t xml:space="preserve">13 </w:t>
        </w:r>
      </w:hyperlink>
      <w:r>
        <w:rPr>
          <w:lang w:val="fr_FR" w:bidi="fr_FR"/>
        </w:rPr>
        <w:t xml:space="preserve">; cf. </w:t>
      </w:r>
      <w:hyperlink r:id="rId199">
        <w:r>
          <w:rPr>
            <w:lang w:val="fr_FR" w:bidi="fr_FR"/>
          </w:rPr>
          <w:rPr>
            <w:color w:val="0000EE"/>
            <w:u w:val="single"/>
          </w:rPr>
          <w:t>1Ch 16.30</w:t>
        </w:r>
      </w:hyperlink>
      <w:r>
        <w:rPr>
          <w:lang w:val="fr_FR" w:bidi="fr_FR"/>
        </w:rPr>
        <w:t xml:space="preserve">, </w:t>
      </w:r>
      <w:hyperlink r:id="rId200">
        <w:r>
          <w:rPr>
            <w:lang w:val="fr_FR" w:bidi="fr_FR"/>
          </w:rPr>
          <w:rPr>
            <w:color w:val="0000EE"/>
            <w:u w:val="single"/>
          </w:rPr>
          <w:t>33</w:t>
        </w:r>
      </w:hyperlink>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hyperlink r:id="rId170">
        <w:r>
          <w:rPr>
            <w:lang w:val="fr_FR" w:bidi="fr_FR"/>
          </w:rPr>
          <w:rPr>
            <w:color w:val="0000EE"/>
            <w:u w:val="single"/>
          </w:rPr>
          <w:t>21.29</w:t>
        </w:r>
      </w:hyperlink>
      <w:r>
        <w:rPr>
          <w:lang w:val="fr_FR" w:bidi="fr_FR"/>
        </w:rPr>
        <w:t xml:space="preserve"> ; </w:t>
      </w:r>
      <w:hyperlink r:id="rId201">
        <w:r>
          <w:rPr>
            <w:lang w:val="fr_FR" w:bidi="fr_FR"/>
          </w:rPr>
          <w:rPr>
            <w:color w:val="0000EE"/>
            <w:u w:val="single"/>
          </w:rPr>
          <w:t>2Ch 1.3</w:t>
        </w:r>
      </w:hyperlink>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hyperlink r:id="rId202">
        <w:r>
          <w:rPr>
            <w:lang w:val="fr_FR" w:bidi="fr_FR"/>
          </w:rPr>
          <w:rPr>
            <w:color w:val="0000EE"/>
            <w:u w:val="single"/>
          </w:rPr>
          <w:t>22</w:t>
        </w:r>
      </w:hyperlink>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hyperlink r:id="rId203">
        <w:r>
          <w:rPr>
            <w:lang w:val="fr_FR" w:bidi="fr_FR"/>
          </w:rPr>
          <w:rPr>
            <w:color w:val="0000EE"/>
            <w:u w:val="single"/>
          </w:rPr>
          <w:t>13.1–17.27</w:t>
        </w:r>
      </w:hyperlink>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hyperlink r:id="rId204">
        <w:r>
          <w:rPr>
            <w:lang w:val="fr_FR" w:bidi="fr_FR"/>
          </w:rPr>
          <w:rPr>
            <w:color w:val="0000EE"/>
            <w:u w:val="single"/>
          </w:rPr>
          <w:t>2Ch 2–7</w:t>
        </w:r>
      </w:hyperlink>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hyperlink r:id="rId205">
        <w:r>
          <w:rPr>
            <w:lang w:val="fr_FR" w:bidi="fr_FR"/>
          </w:rPr>
          <w:rPr>
            <w:color w:val="0000EE"/>
            <w:u w:val="single"/>
          </w:rPr>
          <w:t>22.9</w:t>
        </w:r>
      </w:hyperlink>
      <w:r>
        <w:rPr>
          <w:lang w:val="fr_FR" w:bidi="fr_FR"/>
        </w:rPr>
        <w:t xml:space="preserve"> ; </w:t>
      </w:r>
      <w:hyperlink r:id="rId206">
        <w:r>
          <w:rPr>
            <w:lang w:val="fr_FR" w:bidi="fr_FR"/>
          </w:rPr>
          <w:rPr>
            <w:color w:val="0000EE"/>
            <w:u w:val="single"/>
          </w:rPr>
          <w:t>28.5–6</w:t>
        </w:r>
      </w:hyperlink>
      <w:r>
        <w:rPr>
          <w:lang w:val="fr_FR" w:bidi="fr_FR"/>
        </w:rPr>
        <w:t xml:space="preserve"> ; cf. </w:t>
      </w:r>
      <w:hyperlink r:id="rId207">
        <w:r>
          <w:rPr>
            <w:lang w:val="fr_FR" w:bidi="fr_FR"/>
          </w:rPr>
          <w:rPr>
            <w:color w:val="0000EE"/>
            <w:u w:val="single"/>
          </w:rPr>
          <w:t>2S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hyperlink r:id="rId208">
        <w:r>
          <w:rPr>
            <w:lang w:val="fr_FR" w:bidi="fr_FR"/>
          </w:rPr>
          <w:rPr>
            <w:color w:val="0000EE"/>
            <w:u w:val="single"/>
          </w:rPr>
          <w:t>2S 7.16</w:t>
        </w:r>
      </w:hyperlink>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hyperlink r:id="rId209">
        <w:r>
          <w:rPr>
            <w:lang w:val="fr_FR" w:bidi="fr_FR"/>
          </w:rPr>
          <w:rPr>
            <w:color w:val="0000EE"/>
            <w:u w:val="single"/>
          </w:rPr>
          <w:t>1R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hyperlink r:id="rId210">
        <w:r>
          <w:rPr>
            <w:lang w:val="fr_FR" w:bidi="fr_FR"/>
          </w:rPr>
          <w:rPr>
            <w:color w:val="0000EE"/>
            <w:u w:val="single"/>
          </w:rPr>
          <w:t>18.1</w:t>
        </w:r>
      </w:hyperlink>
      <w:r>
        <w:rPr>
          <w:lang w:val="fr_FR" w:bidi="fr_FR"/>
        </w:rPr>
        <w:t>), Moab (</w:t>
      </w:r>
      <w:hyperlink r:id="rId211">
        <w:r>
          <w:rPr>
            <w:lang w:val="fr_FR" w:bidi="fr_FR"/>
          </w:rPr>
          <w:rPr>
            <w:color w:val="0000EE"/>
            <w:u w:val="single"/>
          </w:rPr>
          <w:t>18.2</w:t>
        </w:r>
      </w:hyperlink>
      <w:r>
        <w:rPr>
          <w:lang w:val="fr_FR" w:bidi="fr_FR"/>
        </w:rPr>
        <w:t>), Tsoba (</w:t>
      </w:r>
      <w:hyperlink r:id="rId212">
        <w:r>
          <w:rPr>
            <w:lang w:val="fr_FR" w:bidi="fr_FR"/>
          </w:rPr>
          <w:rPr>
            <w:color w:val="0000EE"/>
            <w:u w:val="single"/>
          </w:rPr>
          <w:t>18.3–4</w:t>
        </w:r>
      </w:hyperlink>
      <w:r>
        <w:rPr>
          <w:lang w:val="fr_FR" w:bidi="fr_FR"/>
        </w:rPr>
        <w:t>), Damas (</w:t>
      </w:r>
      <w:hyperlink r:id="rId213">
        <w:r>
          <w:rPr>
            <w:lang w:val="fr_FR" w:bidi="fr_FR"/>
          </w:rPr>
          <w:rPr>
            <w:color w:val="0000EE"/>
            <w:u w:val="single"/>
          </w:rPr>
          <w:t>18.5–6</w:t>
        </w:r>
      </w:hyperlink>
      <w:r>
        <w:rPr>
          <w:lang w:val="fr_FR" w:bidi="fr_FR"/>
        </w:rPr>
        <w:t>) et Édom (</w:t>
      </w:r>
      <w:hyperlink r:id="rId214">
        <w:r>
          <w:rPr>
            <w:lang w:val="fr_FR" w:bidi="fr_FR"/>
          </w:rPr>
          <w:rPr>
            <w:color w:val="0000EE"/>
            <w:u w:val="single"/>
          </w:rPr>
          <w:t>18.12–13</w:t>
        </w:r>
      </w:hyperlink>
      <w:r>
        <w:rPr>
          <w:lang w:val="fr_FR" w:bidi="fr_FR"/>
        </w:rPr>
        <w:t>). Elles incluent des documents sur les relations internationales de David, les butins et les tributs (</w:t>
      </w:r>
      <w:hyperlink r:id="rId215">
        <w:r>
          <w:rPr>
            <w:lang w:val="fr_FR" w:bidi="fr_FR"/>
          </w:rPr>
          <w:rPr>
            <w:color w:val="0000EE"/>
            <w:u w:val="single"/>
          </w:rPr>
          <w:t>18.7–11</w:t>
        </w:r>
      </w:hyperlink>
      <w:r>
        <w:rPr>
          <w:lang w:val="fr_FR" w:bidi="fr_FR"/>
        </w:rPr>
        <w:t>). Un thème récurrent est que le Seigneur rendait David victorieux partout où il allait (</w:t>
      </w:r>
      <w:hyperlink r:id="rId216">
        <w:r>
          <w:rPr>
            <w:lang w:val="fr_FR" w:bidi="fr_FR"/>
          </w:rPr>
          <w:rPr>
            <w:color w:val="0000EE"/>
            <w:u w:val="single"/>
          </w:rPr>
          <w:t>18.6</w:t>
        </w:r>
      </w:hyperlink>
      <w:r>
        <w:rPr>
          <w:lang w:val="fr_FR" w:bidi="fr_FR"/>
        </w:rPr>
        <w:t xml:space="preserve">, </w:t>
      </w:r>
      <w:hyperlink r:id="rId21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18">
        <w:r>
          <w:rPr>
            <w:lang w:val="fr_FR" w:bidi="fr_FR"/>
          </w:rPr>
          <w:rPr>
            <w:color w:val="0000EE"/>
            <w:u w:val="single"/>
          </w:rPr>
          <w:t xml:space="preserve">18.1–17 </w:t>
        </w:r>
      </w:hyperlink>
      <w:r>
        <w:rPr>
          <w:lang w:val="fr_FR" w:bidi="fr_FR"/>
        </w:rPr>
        <w:t xml:space="preserve">; voir </w:t>
      </w:r>
      <w:hyperlink r:id="rId219">
        <w:r>
          <w:rPr>
            <w:lang w:val="fr_FR" w:bidi="fr_FR"/>
          </w:rPr>
          <w:rPr>
            <w:color w:val="0000EE"/>
            <w:u w:val="single"/>
          </w:rPr>
          <w:t>2S 8.1–16</w:t>
        </w:r>
      </w:hyperlink>
      <w:r>
        <w:rPr>
          <w:lang w:val="fr_FR" w:bidi="fr_FR"/>
        </w:rPr>
        <w:t>) ; (2) la bataille contre les Ammonites (</w:t>
      </w:r>
      <w:hyperlink r:id="rId220">
        <w:r>
          <w:rPr>
            <w:lang w:val="fr_FR" w:bidi="fr_FR"/>
          </w:rPr>
          <w:rPr>
            <w:color w:val="0000EE"/>
            <w:u w:val="single"/>
          </w:rPr>
          <w:t xml:space="preserve">1Ch 19.1–20.3 </w:t>
        </w:r>
      </w:hyperlink>
      <w:r>
        <w:rPr>
          <w:lang w:val="fr_FR" w:bidi="fr_FR"/>
        </w:rPr>
        <w:t xml:space="preserve">; voir </w:t>
      </w:r>
      <w:hyperlink r:id="rId221">
        <w:r>
          <w:rPr>
            <w:lang w:val="fr_FR" w:bidi="fr_FR"/>
          </w:rPr>
          <w:rPr>
            <w:color w:val="0000EE"/>
            <w:u w:val="single"/>
          </w:rPr>
          <w:t xml:space="preserve">2S 10.1–11.1 </w:t>
        </w:r>
      </w:hyperlink>
      <w:r>
        <w:rPr>
          <w:lang w:val="fr_FR" w:bidi="fr_FR"/>
        </w:rPr>
        <w:t xml:space="preserve">; </w:t>
      </w:r>
      <w:hyperlink r:id="rId222">
        <w:r>
          <w:rPr>
            <w:lang w:val="fr_FR" w:bidi="fr_FR"/>
          </w:rPr>
          <w:rPr>
            <w:color w:val="0000EE"/>
            <w:u w:val="single"/>
          </w:rPr>
          <w:t>12.30–31</w:t>
        </w:r>
      </w:hyperlink>
      <w:r>
        <w:rPr>
          <w:lang w:val="fr_FR" w:bidi="fr_FR"/>
        </w:rPr>
        <w:t>) ; et (3) les exploits des vaillants hommes de David (</w:t>
      </w:r>
      <w:hyperlink r:id="rId223">
        <w:r>
          <w:rPr>
            <w:lang w:val="fr_FR" w:bidi="fr_FR"/>
          </w:rPr>
          <w:rPr>
            <w:color w:val="0000EE"/>
            <w:u w:val="single"/>
          </w:rPr>
          <w:t xml:space="preserve">1Ch 20.4–8 </w:t>
        </w:r>
      </w:hyperlink>
      <w:r>
        <w:rPr>
          <w:lang w:val="fr_FR" w:bidi="fr_FR"/>
        </w:rPr>
        <w:t xml:space="preserve">; voir </w:t>
      </w:r>
      <w:hyperlink r:id="rId224">
        <w:r>
          <w:rPr>
            <w:lang w:val="fr_FR" w:bidi="fr_FR"/>
          </w:rPr>
          <w:rPr>
            <w:color w:val="0000EE"/>
            <w:u w:val="single"/>
          </w:rPr>
          <w:t>2S 21.18–22</w:t>
        </w:r>
      </w:hyperlink>
      <w:r>
        <w:rPr>
          <w:lang w:val="fr_FR" w:bidi="fr_FR"/>
        </w:rPr>
        <w:t>). Chaque section commence par une transition chronologique (après cela) qui relie vaguement ces événements (</w:t>
      </w:r>
      <w:hyperlink r:id="rId210">
        <w:r>
          <w:rPr>
            <w:lang w:val="fr_FR" w:bidi="fr_FR"/>
          </w:rPr>
          <w:rPr>
            <w:color w:val="0000EE"/>
            <w:u w:val="single"/>
          </w:rPr>
          <w:t xml:space="preserve">1Ch 18.1 </w:t>
        </w:r>
      </w:hyperlink>
      <w:r>
        <w:rPr>
          <w:lang w:val="fr_FR" w:bidi="fr_FR"/>
        </w:rPr>
        <w:t xml:space="preserve">; </w:t>
      </w:r>
      <w:hyperlink r:id="rId225">
        <w:r>
          <w:rPr>
            <w:lang w:val="fr_FR" w:bidi="fr_FR"/>
          </w:rPr>
          <w:rPr>
            <w:color w:val="0000EE"/>
            <w:u w:val="single"/>
          </w:rPr>
          <w:t xml:space="preserve">19.1 </w:t>
        </w:r>
      </w:hyperlink>
      <w:r>
        <w:rPr>
          <w:lang w:val="fr_FR" w:bidi="fr_FR"/>
        </w:rPr>
        <w:t xml:space="preserve">; </w:t>
      </w:r>
      <w:hyperlink r:id="rId226">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hyperlink r:id="rId227">
        <w:r>
          <w:rPr>
            <w:lang w:val="fr_FR" w:bidi="fr_FR"/>
          </w:rPr>
          <w:rPr>
            <w:color w:val="0000EE"/>
            <w:u w:val="single"/>
          </w:rPr>
          <w:t>18.9–11</w:t>
        </w:r>
      </w:hyperlink>
      <w:r>
        <w:rPr>
          <w:lang w:val="fr_FR" w:bidi="fr_FR"/>
        </w:rPr>
        <w:t>). Avec la défaite d’Ammon et des Araméens à l’est du Jourdain, David a étendu son contrôle sur les étendues méridionales d’Édom et a obtenu l’accès à un port maritime au sud (</w:t>
      </w:r>
      <w:hyperlink r:id="rId214">
        <w:r>
          <w:rPr>
            <w:lang w:val="fr_FR" w:bidi="fr_FR"/>
          </w:rPr>
          <w:rPr>
            <w:color w:val="0000EE"/>
            <w:u w:val="single"/>
          </w:rPr>
          <w:t>18.12–13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hyperlink r:id="rId228">
        <w:r>
          <w:rPr>
            <w:lang w:val="fr_FR" w:bidi="fr_FR"/>
          </w:rPr>
          <w:rPr>
            <w:color w:val="0000EE"/>
            <w:u w:val="single"/>
          </w:rPr>
          <w:t>19.8</w:t>
        </w:r>
      </w:hyperlink>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hyperlink r:id="rId229">
        <w:r>
          <w:rPr>
            <w:lang w:val="fr_FR" w:bidi="fr_FR"/>
          </w:rPr>
          <w:rPr>
            <w:color w:val="0000EE"/>
            <w:u w:val="single"/>
          </w:rPr>
          <w:t>2S 11.2–12.25</w:t>
        </w:r>
      </w:hyperlink>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hyperlink r:id="rId230">
        <w:r>
          <w:rPr>
            <w:lang w:val="fr_FR" w:bidi="fr_FR"/>
          </w:rPr>
          <w:rPr>
            <w:color w:val="0000EE"/>
            <w:u w:val="single"/>
          </w:rPr>
          <w:t>2S 24.1</w:t>
        </w:r>
      </w:hyperlink>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1">
        <w:r>
          <w:rPr>
            <w:lang w:val="fr_FR" w:bidi="fr_FR"/>
          </w:rPr>
          <w:rPr>
            <w:color w:val="0000EE"/>
            <w:u w:val="single"/>
          </w:rPr>
          <w:t xml:space="preserve">2Ch 18.3–34 </w:t>
        </w:r>
      </w:hyperlink>
      <w:r>
        <w:rPr>
          <w:lang w:val="fr_FR" w:bidi="fr_FR"/>
        </w:rPr>
        <w:t xml:space="preserve">; </w:t>
      </w:r>
      <w:hyperlink r:id="rId232">
        <w:r>
          <w:rPr>
            <w:lang w:val="fr_FR" w:bidi="fr_FR"/>
          </w:rPr>
          <w:rPr>
            <w:color w:val="0000EE"/>
            <w:u w:val="single"/>
          </w:rPr>
          <w:t xml:space="preserve">Jb 1.6–2.7 </w:t>
        </w:r>
      </w:hyperlink>
      <w:r>
        <w:rPr>
          <w:lang w:val="fr_FR" w:bidi="fr_FR"/>
        </w:rPr>
        <w:t xml:space="preserve">; </w:t>
      </w:r>
      <w:hyperlink r:id="rId233">
        <w:r>
          <w:rPr>
            <w:lang w:val="fr_FR" w:bidi="fr_FR"/>
          </w:rPr>
          <w:rPr>
            <w:color w:val="0000EE"/>
            <w:u w:val="single"/>
          </w:rPr>
          <w:t xml:space="preserve">Za 3.1–2 </w:t>
        </w:r>
      </w:hyperlink>
      <w:r>
        <w:rPr>
          <w:lang w:val="fr_FR" w:bidi="fr_FR"/>
        </w:rPr>
        <w:t xml:space="preserve">; </w:t>
      </w:r>
      <w:hyperlink r:id="rId234">
        <w:r>
          <w:rPr>
            <w:lang w:val="fr_FR" w:bidi="fr_FR"/>
          </w:rPr>
          <w:rPr>
            <w:color w:val="0000EE"/>
            <w:u w:val="single"/>
          </w:rPr>
          <w:t xml:space="preserve">Mt 4.1–11 </w:t>
        </w:r>
      </w:hyperlink>
      <w:r>
        <w:rPr>
          <w:lang w:val="fr_FR" w:bidi="fr_FR"/>
        </w:rPr>
        <w:t xml:space="preserve">; </w:t>
      </w:r>
      <w:hyperlink r:id="rId235">
        <w:r>
          <w:rPr>
            <w:lang w:val="fr_FR" w:bidi="fr_FR"/>
          </w:rPr>
          <w:rPr>
            <w:color w:val="0000EE"/>
            <w:u w:val="single"/>
          </w:rPr>
          <w:t xml:space="preserve">Jn 13.27 </w:t>
        </w:r>
      </w:hyperlink>
      <w:r>
        <w:rPr>
          <w:lang w:val="fr_FR" w:bidi="fr_FR"/>
        </w:rPr>
        <w:t xml:space="preserve">; </w:t>
      </w:r>
      <w:hyperlink r:id="rId236">
        <w:r>
          <w:rPr>
            <w:lang w:val="fr_FR" w:bidi="fr_FR"/>
          </w:rPr>
          <w:rPr>
            <w:color w:val="0000EE"/>
            <w:u w:val="single"/>
          </w:rPr>
          <w:t xml:space="preserve">1Co 5.5 </w:t>
        </w:r>
      </w:hyperlink>
      <w:r>
        <w:rPr>
          <w:lang w:val="fr_FR" w:bidi="fr_FR"/>
        </w:rPr>
        <w:t xml:space="preserve">; </w:t>
      </w:r>
      <w:hyperlink r:id="rId237">
        <w:r>
          <w:rPr>
            <w:lang w:val="fr_FR" w:bidi="fr_FR"/>
          </w:rPr>
          <w:rPr>
            <w:color w:val="0000EE"/>
            <w:u w:val="single"/>
          </w:rPr>
          <w:t xml:space="preserve">2Co 12.7 </w:t>
        </w:r>
      </w:hyperlink>
      <w:r>
        <w:rPr>
          <w:lang w:val="fr_FR" w:bidi="fr_FR"/>
        </w:rPr>
        <w:t xml:space="preserve">; </w:t>
      </w:r>
      <w:hyperlink r:id="rId238">
        <w:r>
          <w:rPr>
            <w:lang w:val="fr_FR" w:bidi="fr_FR"/>
          </w:rPr>
          <w:rPr>
            <w:color w:val="0000EE"/>
            <w:u w:val="single"/>
          </w:rPr>
          <w:t xml:space="preserve">1Tm 1.20 </w:t>
        </w:r>
      </w:hyperlink>
      <w:r>
        <w:rPr>
          <w:lang w:val="fr_FR" w:bidi="fr_FR"/>
        </w:rPr>
        <w:t xml:space="preserve">; </w:t>
      </w:r>
      <w:hyperlink r:id="rId239">
        <w:r>
          <w:rPr>
            <w:lang w:val="fr_FR" w:bidi="fr_FR"/>
          </w:rPr>
          <w:rPr>
            <w:color w:val="0000EE"/>
            <w:u w:val="single"/>
          </w:rPr>
          <w:t>Ap 20.3</w:t>
        </w:r>
      </w:hyperlink>
      <w:r>
        <w:rPr>
          <w:lang w:val="fr_FR" w:bidi="fr_FR"/>
        </w:rPr>
        <w:t xml:space="preserve">, </w:t>
      </w:r>
      <w:hyperlink r:id="rId24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hyperlink r:id="rId241">
        <w:r>
          <w:rPr>
            <w:lang w:val="fr_FR" w:bidi="fr_FR"/>
          </w:rPr>
          <w:rPr>
            <w:color w:val="0000EE"/>
            <w:u w:val="single"/>
          </w:rPr>
          <w:t>2S 24.1–25</w:t>
        </w:r>
      </w:hyperlink>
      <w:r>
        <w:rPr>
          <w:lang w:val="fr_FR" w:bidi="fr_FR"/>
        </w:rPr>
        <w:t>, mais a un objectif entièrement différent. Le récit du Chroniqueur présente le contexte pour la dédicace de l’autel et les préparatifs pour la construction du Temple (</w:t>
      </w:r>
      <w:hyperlink r:id="rId202">
        <w:r>
          <w:rPr>
            <w:lang w:val="fr_FR" w:bidi="fr_FR"/>
          </w:rPr>
          <w:rPr>
            <w:color w:val="0000EE"/>
            <w:u w:val="single"/>
          </w:rPr>
          <w:t>1Ch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hyperlink r:id="rId242">
        <w:r>
          <w:rPr>
            <w:lang w:val="fr_FR" w:bidi="fr_FR"/>
          </w:rPr>
          <w:rPr>
            <w:color w:val="0000EE"/>
            <w:u w:val="single"/>
          </w:rPr>
          <w:t>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hyperlink r:id="rId243">
        <w:r>
          <w:rPr>
            <w:lang w:val="fr_FR" w:bidi="fr_FR"/>
          </w:rPr>
          <w:rPr>
            <w:color w:val="0000EE"/>
            <w:u w:val="single"/>
          </w:rPr>
          <w:t>2S 24.17</w:t>
        </w:r>
      </w:hyperlink>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hyperlink r:id="rId169">
        <w:r>
          <w:rPr>
            <w:lang w:val="fr_FR" w:bidi="fr_FR"/>
          </w:rPr>
          <w:rPr>
            <w:color w:val="0000EE"/>
            <w:u w:val="single"/>
          </w:rPr>
          <w:t xml:space="preserve">16.39 </w:t>
        </w:r>
      </w:hyperlink>
      <w:r>
        <w:rPr>
          <w:lang w:val="fr_FR" w:bidi="fr_FR"/>
        </w:rPr>
        <w:t xml:space="preserve">; </w:t>
      </w:r>
      <w:hyperlink r:id="rId170">
        <w:r>
          <w:rPr>
            <w:lang w:val="fr_FR" w:bidi="fr_FR"/>
          </w:rPr>
          <w:rPr>
            <w:color w:val="0000EE"/>
            <w:u w:val="single"/>
          </w:rPr>
          <w:t xml:space="preserve">21.29 </w:t>
        </w:r>
      </w:hyperlink>
      <w:r>
        <w:rPr>
          <w:lang w:val="fr_FR" w:bidi="fr_FR"/>
        </w:rPr>
        <w:t xml:space="preserve">; </w:t>
      </w:r>
      <w:hyperlink r:id="rId201">
        <w:r>
          <w:rPr>
            <w:lang w:val="fr_FR" w:bidi="fr_FR"/>
          </w:rPr>
          <w:rPr>
            <w:color w:val="0000EE"/>
            <w:u w:val="single"/>
          </w:rPr>
          <w:t>2Ch 1.3</w:t>
        </w:r>
      </w:hyperlink>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hyperlink r:id="rId244">
        <w:r>
          <w:rPr>
            <w:lang w:val="fr_FR" w:bidi="fr_FR"/>
          </w:rPr>
          <w:rPr>
            <w:color w:val="0000EE"/>
            <w:u w:val="single"/>
          </w:rPr>
          <w:t>1Ch 21.18</w:t>
        </w:r>
      </w:hyperlink>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hyperlink r:id="rId245">
        <w:r>
          <w:rPr>
            <w:lang w:val="fr_FR" w:bidi="fr_FR"/>
          </w:rPr>
          <w:rPr>
            <w:color w:val="0000EE"/>
            <w:u w:val="single"/>
          </w:rPr>
          <w:t>17.11–12</w:t>
        </w:r>
      </w:hyperlink>
      <w:r>
        <w:rPr>
          <w:lang w:val="fr_FR" w:bidi="fr_FR"/>
        </w:rPr>
        <w:t>). Maintenant que le site avait été choisi (</w:t>
      </w:r>
      <w:hyperlink r:id="rId246">
        <w:r>
          <w:rPr>
            <w:lang w:val="fr_FR" w:bidi="fr_FR"/>
          </w:rPr>
          <w:rPr>
            <w:color w:val="0000EE"/>
            <w:u w:val="single"/>
          </w:rPr>
          <w:t>21.18–22.1</w:t>
        </w:r>
      </w:hyperlink>
      <w:r>
        <w:rPr>
          <w:lang w:val="fr_FR" w:bidi="fr_FR"/>
        </w:rPr>
        <w:t>), David préparait la construction du Temple de Dieu. Il rassembla les matériaux (</w:t>
      </w:r>
      <w:hyperlink r:id="rId247">
        <w:r>
          <w:rPr>
            <w:lang w:val="fr_FR" w:bidi="fr_FR"/>
          </w:rPr>
          <w:rPr>
            <w:color w:val="0000EE"/>
            <w:u w:val="single"/>
          </w:rPr>
          <w:t>22.2–5</w:t>
        </w:r>
      </w:hyperlink>
      <w:r>
        <w:rPr>
          <w:lang w:val="fr_FR" w:bidi="fr_FR"/>
        </w:rPr>
        <w:t>), et il chargeait à la fois Salomon (</w:t>
      </w:r>
      <w:hyperlink r:id="rId248">
        <w:r>
          <w:rPr>
            <w:lang w:val="fr_FR" w:bidi="fr_FR"/>
          </w:rPr>
          <w:rPr>
            <w:color w:val="0000EE"/>
            <w:u w:val="single"/>
          </w:rPr>
          <w:t>22.6–16</w:t>
        </w:r>
      </w:hyperlink>
      <w:r>
        <w:rPr>
          <w:lang w:val="fr_FR" w:bidi="fr_FR"/>
        </w:rPr>
        <w:t>) et les chefs d’Israël (</w:t>
      </w:r>
      <w:hyperlink r:id="rId249">
        <w:r>
          <w:rPr>
            <w:lang w:val="fr_FR" w:bidi="fr_FR"/>
          </w:rPr>
          <w:rPr>
            <w:color w:val="0000EE"/>
            <w:u w:val="single"/>
          </w:rPr>
          <w:t>22.17–19</w:t>
        </w:r>
      </w:hyperlink>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hyperlink r:id="rId250">
        <w:r>
          <w:rPr>
            <w:lang w:val="fr_FR" w:bidi="fr_FR"/>
          </w:rPr>
          <w:rPr>
            <w:color w:val="0000EE"/>
            <w:u w:val="single"/>
          </w:rPr>
          <w:t xml:space="preserve">29.1 </w:t>
        </w:r>
      </w:hyperlink>
      <w:r>
        <w:rPr>
          <w:lang w:val="fr_FR" w:bidi="fr_FR"/>
        </w:rPr>
        <w:t xml:space="preserve">; comparer </w:t>
      </w:r>
      <w:hyperlink r:id="rId251">
        <w:r>
          <w:rPr>
            <w:lang w:val="fr_FR" w:bidi="fr_FR"/>
          </w:rPr>
          <w:rPr>
            <w:color w:val="0000EE"/>
            <w:u w:val="single"/>
          </w:rPr>
          <w:t xml:space="preserve">1R 3.7 </w:t>
        </w:r>
      </w:hyperlink>
      <w:r>
        <w:rPr>
          <w:lang w:val="fr_FR" w:bidi="fr_FR"/>
        </w:rPr>
        <w:t xml:space="preserve">; </w:t>
      </w:r>
      <w:hyperlink r:id="rId252">
        <w:r>
          <w:rPr>
            <w:lang w:val="fr_FR" w:bidi="fr_FR"/>
          </w:rPr>
          <w:rPr>
            <w:color w:val="0000EE"/>
            <w:u w:val="single"/>
          </w:rPr>
          <w:t>2Ch 13.7</w:t>
        </w:r>
      </w:hyperlink>
      <w:r>
        <w:rPr>
          <w:lang w:val="fr_FR" w:bidi="fr_FR"/>
        </w:rPr>
        <w:t>), David avait la sagesse et l’habileté de préparer la construction du Temple, ainsi que de le concevoir (</w:t>
      </w:r>
      <w:hyperlink r:id="rId253">
        <w:r>
          <w:rPr>
            <w:lang w:val="fr_FR" w:bidi="fr_FR"/>
          </w:rPr>
          <w:rPr>
            <w:color w:val="0000EE"/>
            <w:u w:val="single"/>
          </w:rPr>
          <w:t>1Ch 28.11–12</w:t>
        </w:r>
      </w:hyperlink>
      <w:r>
        <w:rPr>
          <w:lang w:val="fr_FR" w:bidi="fr_FR"/>
        </w:rPr>
        <w:t xml:space="preserve">). Plus tard, Dieu a donné à Salomon la sagesse dont il avait besoin pour construire le Temple et bien gouverner (voir </w:t>
      </w:r>
      <w:hyperlink r:id="rId254">
        <w:r>
          <w:rPr>
            <w:lang w:val="fr_FR" w:bidi="fr_FR"/>
          </w:rPr>
          <w:rPr>
            <w:color w:val="0000EE"/>
            <w:u w:val="single"/>
          </w:rPr>
          <w:t>2Ch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hyperlink r:id="rId255">
        <w:r>
          <w:rPr>
            <w:lang w:val="fr_FR" w:bidi="fr_FR"/>
          </w:rPr>
          <w:rPr>
            <w:color w:val="0000EE"/>
            <w:u w:val="single"/>
          </w:rPr>
          <w:t>1R 5.3–4</w:t>
        </w:r>
      </w:hyperlink>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6">
        <w:r>
          <w:rPr>
            <w:lang w:val="fr_FR" w:bidi="fr_FR"/>
          </w:rPr>
          <w:rPr>
            <w:color w:val="0000EE"/>
            <w:u w:val="single"/>
          </w:rPr>
          <w:t>1Ch 28.3</w:t>
        </w:r>
      </w:hyperlink>
      <w:r>
        <w:rPr>
          <w:lang w:val="fr_FR" w:bidi="fr_FR"/>
        </w:rPr>
        <w:t xml:space="preserve"> ; cf. </w:t>
      </w:r>
      <w:hyperlink r:id="rId257">
        <w:r>
          <w:rPr>
            <w:lang w:val="fr_FR" w:bidi="fr_FR"/>
          </w:rPr>
          <w:rPr>
            <w:color w:val="0000EE"/>
            <w:u w:val="single"/>
          </w:rPr>
          <w:t>Gn 4.10–12</w:t>
        </w:r>
      </w:hyperlink>
      <w:r>
        <w:rPr>
          <w:lang w:val="fr_FR" w:bidi="fr_FR"/>
        </w:rPr>
        <w:t xml:space="preserve"> ; </w:t>
      </w:r>
      <w:hyperlink r:id="rId258">
        <w:r>
          <w:rPr>
            <w:lang w:val="fr_FR" w:bidi="fr_FR"/>
          </w:rPr>
          <w:rPr>
            <w:color w:val="0000EE"/>
            <w:u w:val="single"/>
          </w:rPr>
          <w:t>Lv 17.3–4</w:t>
        </w:r>
      </w:hyperlink>
      <w:r>
        <w:rPr>
          <w:lang w:val="fr_FR" w:bidi="fr_FR"/>
        </w:rPr>
        <w:t xml:space="preserve"> ; </w:t>
      </w:r>
      <w:hyperlink r:id="rId259">
        <w:r>
          <w:rPr>
            <w:lang w:val="fr_FR" w:bidi="fr_FR"/>
          </w:rPr>
          <w:rPr>
            <w:color w:val="0000EE"/>
            <w:u w:val="single"/>
          </w:rPr>
          <w:t>Dt 21.1–9</w:t>
        </w:r>
      </w:hyperlink>
      <w:r>
        <w:rPr>
          <w:lang w:val="fr_FR" w:bidi="fr_FR"/>
        </w:rPr>
        <w:t xml:space="preserve"> ; </w:t>
      </w:r>
      <w:hyperlink r:id="rId260">
        <w:r>
          <w:rPr>
            <w:lang w:val="fr_FR" w:bidi="fr_FR"/>
          </w:rPr>
          <w:rPr>
            <w:color w:val="0000EE"/>
            <w:u w:val="single"/>
          </w:rPr>
          <w:t>Mt 27.24–25</w:t>
        </w:r>
      </w:hyperlink>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hyperlink r:id="rId204">
        <w:r>
          <w:rPr>
            <w:lang w:val="fr_FR" w:bidi="fr_FR"/>
          </w:rPr>
          <w:rPr>
            <w:color w:val="0000EE"/>
            <w:u w:val="single"/>
          </w:rPr>
          <w:t>2Ch 2–7</w:t>
        </w:r>
      </w:hyperlink>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hyperlink r:id="rId261">
        <w:r>
          <w:rPr>
            <w:lang w:val="fr_FR" w:bidi="fr_FR"/>
          </w:rPr>
          <w:rPr>
            <w:color w:val="0000EE"/>
            <w:u w:val="single"/>
          </w:rPr>
          <w:t>1R 1</w:t>
        </w:r>
      </w:hyperlink>
      <w:r>
        <w:rPr>
          <w:lang w:val="fr_FR" w:bidi="fr_FR"/>
        </w:rPr>
        <w:t xml:space="preserve">), il a décrit la structure organisationnelle du royaume et a pris toutes les dispositions nécessaires pour le fonctionnement du Temple. • Le récit du couronnement de Salomon se poursuit dans les chapitres </w:t>
      </w:r>
      <w:hyperlink r:id="rId262">
        <w:r>
          <w:rPr>
            <w:lang w:val="fr_FR" w:bidi="fr_FR"/>
          </w:rPr>
          <w:rPr>
            <w:color w:val="0000EE"/>
            <w:u w:val="single"/>
          </w:rPr>
          <w:t>1Ch 28–29</w:t>
        </w:r>
      </w:hyperlink>
      <w:r>
        <w:rPr>
          <w:lang w:val="fr_FR" w:bidi="fr_FR"/>
        </w:rPr>
        <w:t xml:space="preserve"> ; les chapitres intermédiaires (</w:t>
      </w:r>
      <w:hyperlink r:id="rId263">
        <w:r>
          <w:rPr>
            <w:lang w:val="fr_FR" w:bidi="fr_FR"/>
          </w:rPr>
          <w:rPr>
            <w:color w:val="0000EE"/>
            <w:u w:val="single"/>
          </w:rPr>
          <w:t>23.3–27.24</w:t>
        </w:r>
      </w:hyperlink>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hyperlink r:id="rId266">
        <w:r>
          <w:rPr>
            <w:lang w:val="fr_FR" w:bidi="fr_FR"/>
          </w:rPr>
          <w:rPr>
            <w:color w:val="0000EE"/>
            <w:u w:val="single"/>
          </w:rPr>
          <w:t>23.3</w:t>
        </w:r>
      </w:hyperlink>
      <w:r>
        <w:rPr>
          <w:lang w:val="fr_FR" w:bidi="fr_FR"/>
        </w:rPr>
        <w:t xml:space="preserve">, les individus étaient comptés à l’âge de trente ans, mais l’enregistrement réel des divisions incluait ceux âgés de vingt ans ou plus (cf. </w:t>
      </w:r>
      <w:hyperlink r:id="rId267">
        <w:r>
          <w:rPr>
            <w:lang w:val="fr_FR" w:bidi="fr_FR"/>
          </w:rPr>
          <w:rPr>
            <w:color w:val="0000EE"/>
            <w:u w:val="single"/>
          </w:rPr>
          <w:t>Nb 1.3</w:t>
        </w:r>
      </w:hyperlink>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68">
        <w:r>
          <w:rPr>
            <w:lang w:val="fr_FR" w:bidi="fr_FR"/>
          </w:rPr>
          <w:rPr>
            <w:color w:val="0000EE"/>
            <w:u w:val="single"/>
          </w:rPr>
          <w:t>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69">
        <w:r>
          <w:rPr>
            <w:lang w:val="fr_FR" w:bidi="fr_FR"/>
          </w:rPr>
          <w:rPr>
            <w:color w:val="0000EE"/>
            <w:u w:val="single"/>
          </w:rPr>
          <w:t>Ex 28.1–5</w:t>
        </w:r>
      </w:hyperlink>
      <w:r>
        <w:rPr>
          <w:lang w:val="fr_FR" w:bidi="fr_FR"/>
        </w:rPr>
        <w:t xml:space="preserve"> ; </w:t>
      </w:r>
      <w:hyperlink r:id="rId270">
        <w:r>
          <w:rPr>
            <w:lang w:val="fr_FR" w:bidi="fr_FR"/>
          </w:rPr>
          <w:rPr>
            <w:color w:val="0000EE"/>
            <w:u w:val="single"/>
          </w:rPr>
          <w:t>Lv 1–7</w:t>
        </w:r>
      </w:hyperlink>
      <w:r>
        <w:rPr>
          <w:lang w:val="fr_FR" w:bidi="fr_FR"/>
        </w:rPr>
        <w:t xml:space="preserve"> ; </w:t>
      </w:r>
      <w:hyperlink r:id="rId271">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hyperlink r:id="rId272">
        <w:r>
          <w:rPr>
            <w:lang w:val="fr_FR" w:bidi="fr_FR"/>
          </w:rPr>
          <w:rPr>
            <w:color w:val="0000EE"/>
            <w:u w:val="single"/>
          </w:rPr>
          <w:t>6.8</w:t>
        </w:r>
      </w:hyperlink>
      <w:r>
        <w:rPr>
          <w:lang w:val="fr_FR" w:bidi="fr_FR"/>
        </w:rPr>
        <w:t xml:space="preserve"> ; </w:t>
      </w:r>
      <w:hyperlink r:id="rId273">
        <w:r>
          <w:rPr>
            <w:lang w:val="fr_FR" w:bidi="fr_FR"/>
          </w:rPr>
          <w:rPr>
            <w:color w:val="0000EE"/>
            <w:u w:val="single"/>
          </w:rPr>
          <w:t>18.16</w:t>
        </w:r>
      </w:hyperlink>
      <w:r>
        <w:rPr>
          <w:lang w:val="fr_FR" w:bidi="fr_FR"/>
        </w:rPr>
        <w:t xml:space="preserve"> ; </w:t>
      </w:r>
      <w:hyperlink r:id="rId274">
        <w:r>
          <w:rPr>
            <w:lang w:val="fr_FR" w:bidi="fr_FR"/>
          </w:rPr>
          <w:rPr>
            <w:color w:val="0000EE"/>
            <w:u w:val="single"/>
          </w:rPr>
          <w:t>2S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hyperlink r:id="rId275">
        <w:r>
          <w:rPr>
            <w:lang w:val="fr_FR" w:bidi="fr_FR"/>
          </w:rPr>
          <w:rPr>
            <w:color w:val="0000EE"/>
            <w:u w:val="single"/>
          </w:rPr>
          <w:t>24.10</w:t>
        </w:r>
      </w:hyperlink>
      <w:r>
        <w:rPr>
          <w:lang w:val="fr_FR" w:bidi="fr_FR"/>
        </w:rPr>
        <w:t xml:space="preserve">) est spécifiquement mentionné au verset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hyperlink r:id="rId276">
        <w:r>
          <w:rPr>
            <w:lang w:val="fr_FR" w:bidi="fr_FR"/>
          </w:rPr>
          <w:rPr>
            <w:color w:val="0000EE"/>
            <w:u w:val="single"/>
          </w:rPr>
          <w:t>23.6–23</w:t>
        </w:r>
      </w:hyperlink>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hyperlink r:id="rId277">
        <w:r>
          <w:rPr>
            <w:lang w:val="fr_FR" w:bidi="fr_FR"/>
          </w:rPr>
          <w:rPr>
            <w:color w:val="0000EE"/>
            <w:u w:val="single"/>
          </w:rPr>
          <w:t>24.5–6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hyperlink r:id="rId278">
        <w:r>
          <w:rPr>
            <w:lang w:val="fr_FR" w:bidi="fr_FR"/>
          </w:rPr>
          <w:rPr>
            <w:color w:val="0000EE"/>
            <w:u w:val="single"/>
          </w:rPr>
          <w:t>6.39–40</w:t>
        </w:r>
      </w:hyperlink>
      <w:r>
        <w:rPr>
          <w:lang w:val="fr_FR" w:bidi="fr_FR"/>
        </w:rPr>
        <w:t xml:space="preserve"> ; </w:t>
      </w:r>
      <w:hyperlink r:id="rId279">
        <w:r>
          <w:rPr>
            <w:lang w:val="fr_FR" w:bidi="fr_FR"/>
          </w:rPr>
          <w:rPr>
            <w:color w:val="0000EE"/>
            <w:u w:val="single"/>
          </w:rPr>
          <w:t>15.17–19</w:t>
        </w:r>
      </w:hyperlink>
      <w:r>
        <w:rPr>
          <w:lang w:val="fr_FR" w:bidi="fr_FR"/>
        </w:rPr>
        <w:t xml:space="preserve"> ; </w:t>
      </w:r>
      <w:hyperlink r:id="rId280">
        <w:r>
          <w:rPr>
            <w:lang w:val="fr_FR" w:bidi="fr_FR"/>
          </w:rPr>
          <w:rPr>
            <w:color w:val="0000EE"/>
            <w:u w:val="single"/>
          </w:rPr>
          <w:t>16.5</w:t>
        </w:r>
      </w:hyperlink>
      <w:r>
        <w:rPr>
          <w:lang w:val="fr_FR" w:bidi="fr_FR"/>
        </w:rPr>
        <w:t xml:space="preserve"> ; </w:t>
      </w:r>
      <w:hyperlink r:id="rId281">
        <w:r>
          <w:rPr>
            <w:lang w:val="fr_FR" w:bidi="fr_FR"/>
          </w:rPr>
          <w:rPr>
            <w:color w:val="0000EE"/>
            <w:u w:val="single"/>
          </w:rPr>
          <w:t>2 Ch 29.30</w:t>
        </w:r>
      </w:hyperlink>
      <w:r>
        <w:rPr>
          <w:lang w:val="fr_FR" w:bidi="fr_FR"/>
        </w:rPr>
        <w:t xml:space="preserve"> ; </w:t>
      </w:r>
      <w:hyperlink r:id="rId282">
        <w:r>
          <w:rPr>
            <w:lang w:val="fr_FR" w:bidi="fr_FR"/>
          </w:rPr>
          <w:rPr>
            <w:color w:val="0000EE"/>
            <w:u w:val="single"/>
          </w:rPr>
          <w:t>Esd 2.40–41</w:t>
        </w:r>
      </w:hyperlink>
      <w:r>
        <w:rPr>
          <w:lang w:val="fr_FR" w:bidi="fr_FR"/>
        </w:rPr>
        <w:t xml:space="preserve"> ; </w:t>
      </w:r>
      <w:hyperlink r:id="rId105">
        <w:r>
          <w:rPr>
            <w:lang w:val="fr_FR" w:bidi="fr_FR"/>
          </w:rPr>
          <w:rPr>
            <w:color w:val="0000EE"/>
            <w:u w:val="single"/>
          </w:rPr>
          <w:t xml:space="preserve">Ps 50 </w:t>
        </w:r>
      </w:hyperlink>
      <w:r>
        <w:rPr>
          <w:lang w:val="fr_FR" w:bidi="fr_FR"/>
        </w:rPr>
        <w:t xml:space="preserve">; </w:t>
      </w:r>
      <w:hyperlink r:id="rId283">
        <w:r>
          <w:rPr>
            <w:lang w:val="fr_FR" w:bidi="fr_FR"/>
          </w:rPr>
          <w:rPr>
            <w:color w:val="0000EE"/>
            <w:u w:val="single"/>
          </w:rPr>
          <w:t>73</w:t>
        </w:r>
      </w:hyperlink>
      <w:r>
        <w:rPr>
          <w:lang w:val="fr_FR" w:bidi="fr_FR"/>
        </w:rPr>
        <w:t xml:space="preserve">–-83. • Héman : Voir </w:t>
      </w:r>
      <w:hyperlink r:id="rId284">
        <w:r>
          <w:rPr>
            <w:lang w:val="fr_FR" w:bidi="fr_FR"/>
          </w:rPr>
          <w:rPr>
            <w:color w:val="0000EE"/>
            <w:u w:val="single"/>
          </w:rPr>
          <w:t>1Ch 6.33–38</w:t>
        </w:r>
      </w:hyperlink>
      <w:r>
        <w:rPr>
          <w:lang w:val="fr_FR" w:bidi="fr_FR"/>
        </w:rPr>
        <w:t xml:space="preserve"> ; </w:t>
      </w:r>
      <w:hyperlink r:id="rId285">
        <w:r>
          <w:rPr>
            <w:lang w:val="fr_FR" w:bidi="fr_FR"/>
          </w:rPr>
          <w:rPr>
            <w:color w:val="0000EE"/>
            <w:u w:val="single"/>
          </w:rPr>
          <w:t>Ps 88</w:t>
        </w:r>
      </w:hyperlink>
      <w:r>
        <w:rPr>
          <w:lang w:val="fr_FR" w:bidi="fr_FR"/>
        </w:rPr>
        <w:t xml:space="preserve">. • Jeduthun : Voir </w:t>
      </w:r>
      <w:hyperlink r:id="rId286">
        <w:r>
          <w:rPr>
            <w:lang w:val="fr_FR" w:bidi="fr_FR"/>
          </w:rPr>
          <w:rPr>
            <w:color w:val="0000EE"/>
            <w:u w:val="single"/>
          </w:rPr>
          <w:t>1Ch 16.41–42</w:t>
        </w:r>
      </w:hyperlink>
      <w:r>
        <w:rPr>
          <w:lang w:val="fr_FR" w:bidi="fr_FR"/>
        </w:rPr>
        <w:t xml:space="preserve"> ; </w:t>
      </w:r>
      <w:hyperlink r:id="rId287">
        <w:r>
          <w:rPr>
            <w:lang w:val="fr_FR" w:bidi="fr_FR"/>
          </w:rPr>
          <w:rPr>
            <w:color w:val="0000EE"/>
            <w:u w:val="single"/>
          </w:rPr>
          <w:t>2Ch 5.12</w:t>
        </w:r>
      </w:hyperlink>
      <w:r>
        <w:rPr>
          <w:lang w:val="fr_FR" w:bidi="fr_FR"/>
        </w:rPr>
        <w:t xml:space="preserve"> ; </w:t>
      </w:r>
      <w:hyperlink r:id="rId288">
        <w:r>
          <w:rPr>
            <w:lang w:val="fr_FR" w:bidi="fr_FR"/>
          </w:rPr>
          <w:rPr>
            <w:color w:val="0000EE"/>
            <w:u w:val="single"/>
          </w:rPr>
          <w:t>35.15</w:t>
        </w:r>
      </w:hyperlink>
      <w:r>
        <w:rPr>
          <w:lang w:val="fr_FR" w:bidi="fr_FR"/>
        </w:rPr>
        <w:t xml:space="preserve"> ; </w:t>
      </w:r>
      <w:hyperlink r:id="rId289">
        <w:r>
          <w:rPr>
            <w:lang w:val="fr_FR" w:bidi="fr_FR"/>
          </w:rPr>
          <w:rPr>
            <w:color w:val="0000EE"/>
            <w:u w:val="single"/>
          </w:rPr>
          <w:t>Ps 39</w:t>
        </w:r>
      </w:hyperlink>
      <w:r>
        <w:rPr>
          <w:lang w:val="fr_FR" w:bidi="fr_FR"/>
        </w:rPr>
        <w:t xml:space="preserve">, </w:t>
      </w:r>
      <w:hyperlink r:id="rId290">
        <w:r>
          <w:rPr>
            <w:lang w:val="fr_FR" w:bidi="fr_FR"/>
          </w:rPr>
          <w:rPr>
            <w:color w:val="0000EE"/>
            <w:u w:val="single"/>
          </w:rPr>
          <w:t>62</w:t>
        </w:r>
      </w:hyperlink>
      <w:r>
        <w:rPr>
          <w:lang w:val="fr_FR" w:bidi="fr_FR"/>
        </w:rPr>
        <w:t xml:space="preserve">, </w:t>
      </w:r>
      <w:hyperlink r:id="rId29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hyperlink r:id="rId292">
        <w:r>
          <w:rPr>
            <w:lang w:val="fr_FR" w:bidi="fr_FR"/>
          </w:rPr>
          <w:rPr>
            <w:color w:val="0000EE"/>
            <w:u w:val="single"/>
          </w:rPr>
          <w:t>24.5</w:t>
        </w:r>
      </w:hyperlink>
      <w:r>
        <w:rPr>
          <w:lang w:val="fr_FR" w:bidi="fr_FR"/>
        </w:rPr>
        <w:t xml:space="preserve">, </w:t>
      </w:r>
      <w:hyperlink r:id="rId29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hyperlink r:id="rId294">
        <w:r>
          <w:rPr>
            <w:lang w:val="fr_FR" w:bidi="fr_FR"/>
          </w:rPr>
          <w:rPr>
            <w:color w:val="0000EE"/>
            <w:u w:val="single"/>
          </w:rPr>
          <w:t>Esd 2.42</w:t>
        </w:r>
      </w:hyperlink>
      <w:r>
        <w:rPr>
          <w:lang w:val="fr_FR" w:bidi="fr_FR"/>
        </w:rPr>
        <w:t xml:space="preserve"> ; « Meschullam » au verset </w:t>
      </w:r>
      <w:hyperlink r:id="rId295">
        <w:r>
          <w:rPr>
            <w:lang w:val="fr_FR" w:bidi="fr_FR"/>
          </w:rPr>
          <w:rPr>
            <w:color w:val="0000EE"/>
            <w:u w:val="single"/>
          </w:rPr>
          <w:t>Né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hyperlink r:id="rId296">
        <w:r>
          <w:rPr>
            <w:lang w:val="fr_FR" w:bidi="fr_FR"/>
          </w:rPr>
          <w:rPr>
            <w:color w:val="0000EE"/>
            <w:u w:val="single"/>
          </w:rPr>
          <w:t>13.13–14</w:t>
        </w:r>
      </w:hyperlink>
      <w:r>
        <w:rPr>
          <w:lang w:val="fr_FR" w:bidi="fr_FR"/>
        </w:rPr>
        <w:t>), en lui donnant de nombreux descendants (</w:t>
      </w:r>
      <w:hyperlink r:id="rId297">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hyperlink r:id="rId298">
        <w:r>
          <w:rPr>
            <w:lang w:val="fr_FR" w:bidi="fr_FR"/>
          </w:rPr>
          <w:rPr>
            <w:color w:val="0000EE"/>
            <w:u w:val="single"/>
          </w:rPr>
          <w:t>2Ch 24.11</w:t>
        </w:r>
      </w:hyperlink>
      <w:r>
        <w:rPr>
          <w:lang w:val="fr_FR" w:bidi="fr_FR"/>
        </w:rPr>
        <w:t xml:space="preserve"> ; </w:t>
      </w:r>
      <w:hyperlink r:id="rId299">
        <w:r>
          <w:rPr>
            <w:lang w:val="fr_FR" w:bidi="fr_FR"/>
          </w:rPr>
          <w:rPr>
            <w:color w:val="0000EE"/>
            <w:u w:val="single"/>
          </w:rPr>
          <w:t>31.12</w:t>
        </w:r>
      </w:hyperlink>
      <w:r>
        <w:rPr>
          <w:lang w:val="fr_FR" w:bidi="fr_FR"/>
        </w:rPr>
        <w:t>). Certains butins de guerre étaient toujours consacrés à Dieu (</w:t>
      </w:r>
      <w:hyperlink r:id="rId300">
        <w:r>
          <w:rPr>
            <w:lang w:val="fr_FR" w:bidi="fr_FR"/>
          </w:rPr>
          <w:rPr>
            <w:color w:val="0000EE"/>
            <w:u w:val="single"/>
          </w:rPr>
          <w:t>1Ch 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hyperlink r:id="rId301">
        <w:r>
          <w:rPr>
            <w:lang w:val="fr_FR" w:bidi="fr_FR"/>
          </w:rPr>
          <w:rPr>
            <w:color w:val="0000EE"/>
            <w:u w:val="single"/>
          </w:rPr>
          <w:t>Jos 21.39</w:t>
        </w:r>
      </w:hyperlink>
      <w:r>
        <w:rPr>
          <w:lang w:val="fr_FR" w:bidi="fr_FR"/>
        </w:rPr>
        <w:t>) qui est devenue un centre administratif pendant la monarchie. David et ses descendants pouvaient compter sur la loyauté des Lévites d’Hébron (</w:t>
      </w:r>
      <w:hyperlink r:id="rId302">
        <w:r>
          <w:rPr>
            <w:lang w:val="fr_FR" w:bidi="fr_FR"/>
          </w:rPr>
          <w:rPr>
            <w:color w:val="0000EE"/>
            <w:u w:val="single"/>
          </w:rPr>
          <w:t>1S 30.27–31</w:t>
        </w:r>
      </w:hyperlink>
      <w:r>
        <w:rPr>
          <w:lang w:val="fr_FR" w:bidi="fr_FR"/>
        </w:rPr>
        <w:t xml:space="preserve"> ; </w:t>
      </w:r>
      <w:hyperlink r:id="rId303">
        <w:r>
          <w:rPr>
            <w:lang w:val="fr_FR" w:bidi="fr_FR"/>
          </w:rPr>
          <w:rPr>
            <w:color w:val="0000EE"/>
            <w:u w:val="single"/>
          </w:rPr>
          <w:t>2S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hyperlink r:id="rId304">
        <w:r>
          <w:rPr>
            <w:lang w:val="fr_FR" w:bidi="fr_FR"/>
          </w:rPr>
          <w:rPr>
            <w:color w:val="0000EE"/>
            <w:u w:val="single"/>
          </w:rPr>
          <w:t>Nb 1.5–15</w:t>
        </w:r>
      </w:hyperlink>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hyperlink r:id="rId305">
        <w:r>
          <w:rPr>
            <w:lang w:val="fr_FR" w:bidi="fr_FR"/>
          </w:rPr>
          <w:rPr>
            <w:color w:val="0000EE"/>
            <w:u w:val="single"/>
          </w:rPr>
          <w:t>2.13</w:t>
        </w:r>
      </w:hyperlink>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hyperlink r:id="rId306">
        <w:r>
          <w:rPr>
            <w:lang w:val="fr_FR" w:bidi="fr_FR"/>
          </w:rPr>
          <w:rPr>
            <w:color w:val="0000EE"/>
            <w:u w:val="single"/>
          </w:rPr>
          <w:t>23.1–2</w:t>
        </w:r>
      </w:hyperlink>
      <w:r>
        <w:rPr>
          <w:lang w:val="fr_FR" w:bidi="fr_FR"/>
        </w:rPr>
        <w:t xml:space="preserve">. David est présenté au sommet de sa force alors qu’il transfère l’autorité à Salomon (cf. </w:t>
      </w:r>
      <w:hyperlink r:id="rId307">
        <w:r>
          <w:rPr>
            <w:lang w:val="fr_FR" w:bidi="fr_FR"/>
          </w:rPr>
          <w:rPr>
            <w:color w:val="0000EE"/>
            <w:u w:val="single"/>
          </w:rPr>
          <w:t>1R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hyperlink r:id="rId308">
        <w:r>
          <w:rPr>
            <w:lang w:val="fr_FR" w:bidi="fr_FR"/>
          </w:rPr>
          <w:rPr>
            <w:color w:val="0000EE"/>
            <w:u w:val="single"/>
          </w:rPr>
          <w:t>Dt 12.9</w:t>
        </w:r>
      </w:hyperlink>
      <w:r>
        <w:rPr>
          <w:lang w:val="fr_FR" w:bidi="fr_FR"/>
        </w:rPr>
        <w:t>). Dans le désert, l’Arche se reposait à la fin de la bataille (</w:t>
      </w:r>
      <w:hyperlink r:id="rId309">
        <w:r>
          <w:rPr>
            <w:lang w:val="fr_FR" w:bidi="fr_FR"/>
          </w:rPr>
          <w:rPr>
            <w:color w:val="0000EE"/>
            <w:u w:val="single"/>
          </w:rPr>
          <w:t>Nb 10.35–36</w:t>
        </w:r>
      </w:hyperlink>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hyperlink r:id="rId310">
        <w:r>
          <w:rPr>
            <w:lang w:val="fr_FR" w:bidi="fr_FR"/>
          </w:rPr>
          <w:rPr>
            <w:color w:val="0000EE"/>
            <w:u w:val="single"/>
          </w:rPr>
          <w:t>Ps 132.8</w:t>
        </w:r>
      </w:hyperlink>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hyperlink r:id="rId311">
        <w:r>
          <w:rPr>
            <w:lang w:val="fr_FR" w:bidi="fr_FR"/>
          </w:rPr>
          <w:rPr>
            <w:color w:val="0000EE"/>
            <w:u w:val="single"/>
          </w:rPr>
          <w:t>28.2–8</w:t>
        </w:r>
      </w:hyperlink>
      <w:r>
        <w:rPr>
          <w:lang w:val="fr_FR" w:bidi="fr_FR"/>
        </w:rPr>
        <w:t>) et un message à Salomon (</w:t>
      </w:r>
      <w:hyperlink r:id="rId312">
        <w:r>
          <w:rPr>
            <w:lang w:val="fr_FR" w:bidi="fr_FR"/>
          </w:rPr>
          <w:rPr>
            <w:color w:val="0000EE"/>
            <w:u w:val="single"/>
          </w:rPr>
          <w:t>28.9–10</w:t>
        </w:r>
      </w:hyperlink>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hyperlink r:id="rId313">
        <w:r>
          <w:rPr>
            <w:lang w:val="fr_FR" w:bidi="fr_FR"/>
          </w:rPr>
          <w:rPr>
            <w:color w:val="0000EE"/>
            <w:u w:val="single"/>
          </w:rPr>
          <w:t>Gn 49.8–12</w:t>
        </w:r>
      </w:hyperlink>
      <w:r>
        <w:rPr>
          <w:lang w:val="fr_FR" w:bidi="fr_FR"/>
        </w:rPr>
        <w:t>), a culminé avec David (</w:t>
      </w:r>
      <w:hyperlink r:id="rId314">
        <w:r>
          <w:rPr>
            <w:lang w:val="fr_FR" w:bidi="fr_FR"/>
          </w:rPr>
          <w:rPr>
            <w:color w:val="0000EE"/>
            <w:u w:val="single"/>
          </w:rPr>
          <w:t>1S 16.1–13</w:t>
        </w:r>
      </w:hyperlink>
      <w:r>
        <w:rPr>
          <w:lang w:val="fr_FR" w:bidi="fr_FR"/>
        </w:rPr>
        <w:t>), et s’est poursuivi avec Salomon (</w:t>
      </w:r>
      <w:hyperlink r:id="rId206">
        <w:r>
          <w:rPr>
            <w:lang w:val="fr_FR" w:bidi="fr_FR"/>
          </w:rPr>
          <w:rPr>
            <w:color w:val="0000EE"/>
            <w:u w:val="single"/>
          </w:rPr>
          <w:t>1Ch 28.5–6</w:t>
        </w:r>
      </w:hyperlink>
      <w:r>
        <w:rPr>
          <w:lang w:val="fr_FR" w:bidi="fr_FR"/>
        </w:rPr>
        <w:t xml:space="preserve">, </w:t>
      </w:r>
      <w:hyperlink r:id="rId315">
        <w:r>
          <w:rPr>
            <w:lang w:val="fr_FR" w:bidi="fr_FR"/>
          </w:rPr>
          <w:rPr>
            <w:color w:val="0000EE"/>
            <w:u w:val="single"/>
          </w:rPr>
          <w:t>10</w:t>
        </w:r>
      </w:hyperlink>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hyperlink r:id="rId316">
        <w:r>
          <w:rPr>
            <w:lang w:val="fr_FR" w:bidi="fr_FR"/>
          </w:rPr>
          <w:rPr>
            <w:color w:val="0000EE"/>
            <w:u w:val="single"/>
          </w:rPr>
          <w:t>28.19</w:t>
        </w:r>
      </w:hyperlink>
      <w:r>
        <w:rPr>
          <w:lang w:val="fr_FR" w:bidi="fr_FR"/>
        </w:rPr>
        <w:t>). À d’autres occasions, Dieu a également donné des plans pour le Tabernacle dans le désert (</w:t>
      </w:r>
      <w:hyperlink r:id="rId317">
        <w:r>
          <w:rPr>
            <w:lang w:val="fr_FR" w:bidi="fr_FR"/>
          </w:rPr>
          <w:rPr>
            <w:color w:val="0000EE"/>
            <w:u w:val="single"/>
          </w:rPr>
          <w:t>Ex 25.9</w:t>
        </w:r>
      </w:hyperlink>
      <w:r>
        <w:rPr>
          <w:lang w:val="fr_FR" w:bidi="fr_FR"/>
        </w:rPr>
        <w:t>) et pour le futur Temple d’Ézéchiel (</w:t>
      </w:r>
      <w:hyperlink r:id="rId318">
        <w:r>
          <w:rPr>
            <w:lang w:val="fr_FR" w:bidi="fr_FR"/>
          </w:rPr>
          <w:rPr>
            <w:color w:val="0000EE"/>
            <w:u w:val="single"/>
          </w:rPr>
          <w:t>Ez 40.4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hyperlink r:id="rId319">
        <w:r>
          <w:rPr>
            <w:lang w:val="fr_FR" w:bidi="fr_FR"/>
          </w:rPr>
          <w:rPr>
            <w:color w:val="0000EE"/>
            <w:u w:val="single"/>
          </w:rPr>
          <w:t>Ex 25.18–22</w:t>
        </w:r>
      </w:hyperlink>
      <w:r>
        <w:rPr>
          <w:lang w:val="fr_FR" w:bidi="fr_FR"/>
        </w:rPr>
        <w:t xml:space="preserve"> ; </w:t>
      </w:r>
      <w:hyperlink r:id="rId320">
        <w:r>
          <w:rPr>
            <w:lang w:val="fr_FR" w:bidi="fr_FR"/>
          </w:rPr>
          <w:rPr>
            <w:color w:val="0000EE"/>
            <w:u w:val="single"/>
          </w:rPr>
          <w:t>2S 6.2</w:t>
        </w:r>
      </w:hyperlink>
      <w:r>
        <w:rPr>
          <w:lang w:val="fr_FR" w:bidi="fr_FR"/>
        </w:rPr>
        <w:t xml:space="preserve"> ; </w:t>
      </w:r>
      <w:hyperlink r:id="rId321">
        <w:r>
          <w:rPr>
            <w:lang w:val="fr_FR" w:bidi="fr_FR"/>
          </w:rPr>
          <w:rPr>
            <w:color w:val="0000EE"/>
            <w:u w:val="single"/>
          </w:rPr>
          <w:t xml:space="preserve">Ps 99.1 </w:t>
        </w:r>
      </w:hyperlink>
      <w:r>
        <w:rPr>
          <w:lang w:val="fr_FR" w:bidi="fr_FR"/>
        </w:rPr>
        <w:t xml:space="preserve">; cf. </w:t>
      </w:r>
      <w:hyperlink r:id="rId322">
        <w:r>
          <w:rPr>
            <w:lang w:val="fr_FR" w:bidi="fr_FR"/>
          </w:rPr>
          <w:rPr>
            <w:color w:val="0000EE"/>
            <w:u w:val="single"/>
          </w:rPr>
          <w:t>Ez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hyperlink r:id="rId323">
        <w:r>
          <w:rPr>
            <w:lang w:val="fr_FR" w:bidi="fr_FR"/>
          </w:rPr>
          <w:rPr>
            <w:color w:val="0000EE"/>
            <w:u w:val="single"/>
          </w:rPr>
          <w:t>28.1</w:t>
        </w:r>
      </w:hyperlink>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4">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hyperlink r:id="rId325">
        <w:r>
          <w:rPr>
            <w:lang w:val="fr_FR" w:bidi="fr_FR"/>
          </w:rPr>
          <w:rPr>
            <w:color w:val="0000EE"/>
            <w:u w:val="single"/>
          </w:rPr>
          <w:t>Ex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6">
        <w:r>
          <w:rPr>
            <w:lang w:val="fr_FR" w:bidi="fr_FR"/>
          </w:rPr>
          <w:rPr>
            <w:color w:val="0000EE"/>
            <w:u w:val="single"/>
          </w:rPr>
          <w:t>29.10b-13</w:t>
        </w:r>
      </w:hyperlink>
      <w:r>
        <w:rPr>
          <w:lang w:val="fr_FR" w:bidi="fr_FR"/>
        </w:rPr>
        <w:t>), la présentation et la dédicace des offrandes (</w:t>
      </w:r>
      <w:hyperlink r:id="rId327">
        <w:r>
          <w:rPr>
            <w:lang w:val="fr_FR" w:bidi="fr_FR"/>
          </w:rPr>
          <w:rPr>
            <w:color w:val="0000EE"/>
            <w:u w:val="single"/>
          </w:rPr>
          <w:t>29.14–17</w:t>
        </w:r>
      </w:hyperlink>
      <w:r>
        <w:rPr>
          <w:lang w:val="fr_FR" w:bidi="fr_FR"/>
        </w:rPr>
        <w:t>), et la pétition (</w:t>
      </w:r>
      <w:hyperlink r:id="rId328">
        <w:r>
          <w:rPr>
            <w:lang w:val="fr_FR" w:bidi="fr_FR"/>
          </w:rPr>
          <w:rPr>
            <w:color w:val="0000EE"/>
            <w:u w:val="single"/>
          </w:rPr>
          <w:t>29.18–19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29">
        <w:r>
          <w:rPr>
            <w:lang w:val="fr_FR" w:bidi="fr_FR"/>
          </w:rPr>
          <w:rPr>
            <w:color w:val="0000EE"/>
            <w:u w:val="single"/>
          </w:rPr>
          <w:t>Ez 40.46</w:t>
        </w:r>
      </w:hyperlink>
      <w:r>
        <w:rPr>
          <w:lang w:val="fr_FR" w:bidi="fr_FR"/>
        </w:rPr>
        <w:t xml:space="preserve"> ; </w:t>
      </w:r>
      <w:hyperlink r:id="rId330">
        <w:r>
          <w:rPr>
            <w:lang w:val="fr_FR" w:bidi="fr_FR"/>
          </w:rPr>
          <w:rPr>
            <w:color w:val="0000EE"/>
            <w:u w:val="single"/>
          </w:rPr>
          <w:t>43.19</w:t>
        </w:r>
      </w:hyperlink>
      <w:r>
        <w:rPr>
          <w:lang w:val="fr_FR" w:bidi="fr_FR"/>
        </w:rPr>
        <w:t xml:space="preserve"> ; </w:t>
      </w:r>
      <w:hyperlink r:id="rId331">
        <w:r>
          <w:rPr>
            <w:lang w:val="fr_FR" w:bidi="fr_FR"/>
          </w:rPr>
          <w:rPr>
            <w:color w:val="0000EE"/>
            <w:u w:val="single"/>
          </w:rPr>
          <w:t>44.15</w:t>
        </w:r>
      </w:hyperlink>
      <w:r>
        <w:rPr>
          <w:lang w:val="fr_FR" w:bidi="fr_FR"/>
        </w:rPr>
        <w:t xml:space="preserve"> ; </w:t>
      </w:r>
      <w:hyperlink r:id="rId33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hyperlink r:id="rId333">
        <w:r>
          <w:rPr>
            <w:lang w:val="fr_FR" w:bidi="fr_FR"/>
          </w:rPr>
          <w:rPr>
            <w:color w:val="0000EE"/>
            <w:u w:val="single"/>
          </w:rPr>
          <w:t>1R 22.41–50</w:t>
        </w:r>
      </w:hyperlink>
      <w:r>
        <w:rPr>
          <w:lang w:val="fr_FR" w:bidi="fr_FR"/>
        </w:rPr>
        <w:t>). Comme Abraham (</w:t>
      </w:r>
      <w:hyperlink r:id="rId334">
        <w:r>
          <w:rPr>
            <w:lang w:val="fr_FR" w:bidi="fr_FR"/>
          </w:rPr>
          <w:rPr>
            <w:color w:val="0000EE"/>
            <w:u w:val="single"/>
          </w:rPr>
          <w:t>Gn 25.8</w:t>
        </w:r>
      </w:hyperlink>
      <w:r>
        <w:rPr>
          <w:lang w:val="fr_FR" w:bidi="fr_FR"/>
        </w:rPr>
        <w:t>) et Isaac (</w:t>
      </w:r>
      <w:hyperlink r:id="rId335">
        <w:r>
          <w:rPr>
            <w:lang w:val="fr_FR" w:bidi="fr_FR"/>
          </w:rPr>
          <w:rPr>
            <w:color w:val="0000EE"/>
            <w:u w:val="single"/>
          </w:rPr>
          <w:t>Gn 35.29</w:t>
        </w:r>
      </w:hyperlink>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hyperlink r:id="rId150">
        <w:r>
          <w:rPr>
            <w:lang w:val="fr_FR" w:bidi="fr_FR"/>
          </w:rPr>
          <w:rPr>
            <w:color w:val="0000EE"/>
            <w:u w:val="single"/>
          </w:rPr>
          <w:t>11.3</w:t>
        </w:r>
      </w:hyperlink>
      <w:r>
        <w:rPr>
          <w:lang w:val="fr_FR" w:bidi="fr_FR"/>
        </w:rPr>
        <w:t>), Nathan (</w:t>
      </w:r>
      <w:hyperlink r:id="rId336">
        <w:r>
          <w:rPr>
            <w:lang w:val="fr_FR" w:bidi="fr_FR"/>
          </w:rPr>
          <w:rPr>
            <w:color w:val="0000EE"/>
            <w:u w:val="single"/>
          </w:rPr>
          <w:t>17.1–27</w:t>
        </w:r>
      </w:hyperlink>
      <w:r>
        <w:rPr>
          <w:lang w:val="fr_FR" w:bidi="fr_FR"/>
        </w:rPr>
        <w:t>) et Gad (</w:t>
      </w:r>
      <w:hyperlink r:id="rId337">
        <w:r>
          <w:rPr>
            <w:lang w:val="fr_FR" w:bidi="fr_FR"/>
          </w:rPr>
          <w:rPr>
            <w:color w:val="0000EE"/>
            <w:u w:val="single"/>
          </w:rPr>
          <w:t>21.9</w:t>
        </w:r>
      </w:hyperlink>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hyperlink r:id="rId338">
        <w:r>
          <w:rPr>
            <w:lang w:val="fr_FR" w:bidi="fr_FR"/>
          </w:rPr>
          <w:rPr>
            <w:color w:val="0000EE"/>
            <w:u w:val="single"/>
          </w:rPr>
          <w:t>1R 11.41–43</w:t>
        </w:r>
      </w:hyperlink>
      <w:r>
        <w:rPr>
          <w:lang w:val="fr_FR" w:bidi="fr_FR"/>
        </w:rPr>
        <w:t xml:space="preserve"> ; </w:t>
      </w:r>
      <w:hyperlink r:id="rId339">
        <w:r>
          <w:rPr>
            <w:lang w:val="fr_FR" w:bidi="fr_FR"/>
          </w:rPr>
          <w:rPr>
            <w:color w:val="0000EE"/>
            <w:u w:val="single"/>
          </w:rPr>
          <w:t>14.19–20</w:t>
        </w:r>
      </w:hyperlink>
      <w:r>
        <w:rPr>
          <w:lang w:val="fr_FR" w:bidi="fr_FR"/>
        </w:rPr>
        <w:t xml:space="preserve">, </w:t>
      </w:r>
      <w:hyperlink r:id="rId340">
        <w:r>
          <w:rPr>
            <w:lang w:val="fr_FR" w:bidi="fr_FR"/>
          </w:rPr>
          <w:rPr>
            <w:color w:val="0000EE"/>
            <w:u w:val="single"/>
          </w:rPr>
          <w:t>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