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 de plus,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 Jean a confirmé ce point de vue (</w:t>
      </w:r>
      <w:hyperlink r:id="rId19">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Fils de l'homme,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 grec traduit une phrase hébraïque et araméenne signifiant "être humain". Les contemporains de Jésus n'étaient pas complètement sûrs de ce qu'il voulait dire par là (voir </w:t>
      </w:r>
      <w:hyperlink r:id="rId402">
        <w:r>
          <w:rPr>
            <w:lang w:val="fr_FR" w:bidi="fr_FR"/>
          </w:rPr>
          <w:rPr>
            <w:color w:val="0000EE"/>
            <w:u w:val="single"/>
          </w:rPr>
          <w:t>12.34</w:t>
        </w:r>
      </w:hyperlink>
      <w:r>
        <w:rPr>
          <w:lang w:val="fr_FR" w:bidi="fr_FR"/>
        </w:rPr>
        <w:t xml:space="preserve">). Cependant, cela démontre l'identité de Jésus, à la fois en tant qu'être humain et en tant que Messie (cf. </w:t>
      </w:r>
      <w:hyperlink r:id="rId107">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n'a pas été un martyr ou une victime. Sa mort a été librement décidée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