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 1:1</w:t>
      </w:r>
      <w:r>
        <w:rPr>
          <w:lang w:val="id_ID" w:bidi="id_ID"/>
        </w:rPr>
      </w:r>
    </w:p>
    <w:p>
      <w:pPr/>
      <w:r>
        <w:rPr>
          <w:lang w:val="id_ID" w:bidi="id_ID"/>
        </w:rPr>
      </w:r>
      <w:r>
        <w:rPr>
          <w:lang w:val="id_ID" w:bidi="id_ID"/>
        </w:rPr>
        <w:t xml:space="preserve">Pernyataan judul atau pengantar ini menggolongkan Kitab Zakharia sebagai </w:t>
      </w:r>
      <w:r>
        <w:rPr>
          <w:i/>
          <w:lang w:val="id_ID" w:bidi="id_ID"/>
        </w:rPr>
        <w:t>nubuat</w:t>
      </w:r>
      <w:r>
        <w:rPr>
          <w:lang w:val="id_ID" w:bidi="id_ID"/>
        </w:rPr>
        <w:t>, yaitu pesan berotoritas yang diilhami oleh Allah. Nabi Zakharia adalah utusan Allah yang ditunjuk untuk berbicara dengan otoritas dari Allah. • Pemerintahan Raja Darius (521–486 SM) berlangsung pada tahun-tahun awal Kekaisaran Persia (539–331 SM).</w:t>
      </w:r>
      <w:r>
        <w:rPr>
          <w:lang w:val="id_ID" w:bidi="id_ID"/>
        </w:rPr>
      </w:r>
      <w:r>
        <w:rPr>
          <w:lang w:val="id_ID" w:bidi="id_ID"/>
        </w:rPr>
      </w:r>
    </w:p>
    <w:p>
      <w:pPr/>
      <w:r>
        <w:rPr>
          <w:lang w:val="id_ID" w:bidi="id_ID"/>
        </w:rPr>
      </w:r>
    </w:p>
    <w:p>
      <w:pPr>
        <w:pStyle w:val="Heading2"/>
      </w:pPr>
      <w:r>
        <w:rPr>
          <w:lang w:val="id_ID" w:bidi="id_ID"/>
        </w:rPr>
        <w:t>Zakharia 1:1–6</w:t>
      </w:r>
      <w:r>
        <w:rPr>
          <w:lang w:val="id_ID" w:bidi="id_ID"/>
        </w:rPr>
      </w:r>
    </w:p>
    <w:p>
      <w:pPr/>
      <w:r>
        <w:rPr>
          <w:lang w:val="id_ID" w:bidi="id_ID"/>
        </w:rPr>
      </w:r>
      <w:r>
        <w:rPr>
          <w:lang w:val="id_ID" w:bidi="id_ID"/>
        </w:rPr>
        <w:t>Bagian pendahuluan menyebutkan tema Kitab sebagai pertobatan dan pembaruan rohani, serta memberikan nada yang penuh harapan dan dorongan.</w:t>
      </w:r>
      <w:r>
        <w:rPr>
          <w:lang w:val="id_ID" w:bidi="id_ID"/>
        </w:rPr>
      </w:r>
      <w:r>
        <w:rPr>
          <w:lang w:val="id_ID" w:bidi="id_ID"/>
        </w:rPr>
      </w:r>
    </w:p>
    <w:p>
      <w:pPr/>
      <w:r>
        <w:rPr>
          <w:lang w:val="id_ID" w:bidi="id_ID"/>
        </w:rPr>
      </w:r>
    </w:p>
    <w:p>
      <w:pPr>
        <w:pStyle w:val="Heading2"/>
      </w:pPr>
      <w:r>
        <w:rPr>
          <w:lang w:val="id_ID" w:bidi="id_ID"/>
        </w:rPr>
        <w:t>Zakharia 1:3</w:t>
      </w:r>
      <w:r>
        <w:rPr>
          <w:lang w:val="id_ID" w:bidi="id_ID"/>
        </w:rPr>
      </w:r>
    </w:p>
    <w:p>
      <w:pPr/>
      <w:r>
        <w:rPr>
          <w:lang w:val="id_ID" w:bidi="id_ID"/>
        </w:rPr>
      </w:r>
      <w:r>
        <w:rPr>
          <w:lang w:val="id_ID" w:bidi="id_ID"/>
        </w:rPr>
        <w:t xml:space="preserve">Tuhan semesta alam: Allah memiliki pasukan malaikat yang tak terhitung jumlahnya, yang siap melaksanakan kehendak-Nya (lihat </w:t>
      </w:r>
      <w:hyperlink r:id="rId13">
        <w:r>
          <w:rPr>
            <w:lang w:val="id_ID" w:bidi="id_ID"/>
          </w:rPr>
          <w:rPr>
            <w:color w:val="0000EE"/>
            <w:u w:val="single"/>
          </w:rPr>
          <w:t>2Raj. 6:17</w:t>
        </w:r>
      </w:hyperlink>
      <w:r>
        <w:rPr>
          <w:lang w:val="id_ID" w:bidi="id_ID"/>
        </w:rPr>
        <w:t xml:space="preserve">; </w:t>
      </w:r>
      <w:hyperlink r:id="rId14">
        <w:r>
          <w:rPr>
            <w:lang w:val="id_ID" w:bidi="id_ID"/>
          </w:rPr>
          <w:rPr>
            <w:color w:val="0000EE"/>
            <w:u w:val="single"/>
          </w:rPr>
          <w:t>Mat. 26:53</w:t>
        </w:r>
      </w:hyperlink>
      <w:r>
        <w:rPr>
          <w:lang w:val="id_ID" w:bidi="id_ID"/>
        </w:rPr>
        <w:t xml:space="preserve">). Frasa ini mungkin dimaksudkan untuk memberikan dorongan kepada orang-orang Yudea. </w:t>
      </w:r>
    </w:p>
    <w:p>
      <w:pPr/>
      <w:r>
        <w:rPr>
          <w:lang w:val="id_ID" w:bidi="id_ID"/>
        </w:rPr>
      </w:r>
      <w:r>
        <w:rPr>
          <w:lang w:val="id_ID" w:bidi="id_ID"/>
        </w:rPr>
        <w:t xml:space="preserve">• Kembalilah kepada-Ku: Seseorang yang bertobat melakukan perubahan total—beralih dari dosa dan diri sendiri menuju kesetiaan kepada Allah dan Perjanjian-Nya (lihat </w:t>
      </w:r>
      <w:hyperlink r:id="rId15">
        <w:r>
          <w:rPr>
            <w:lang w:val="id_ID" w:bidi="id_ID"/>
          </w:rPr>
          <w:rPr>
            <w:color w:val="0000EE"/>
            <w:u w:val="single"/>
          </w:rPr>
          <w:t>Yes. 44:22</w:t>
        </w:r>
      </w:hyperlink>
      <w:r>
        <w:rPr>
          <w:lang w:val="id_ID" w:bidi="id_ID"/>
        </w:rPr>
        <w:t xml:space="preserve">; </w:t>
      </w:r>
      <w:hyperlink r:id="rId16">
        <w:r>
          <w:rPr>
            <w:lang w:val="id_ID" w:bidi="id_ID"/>
          </w:rPr>
          <w:rPr>
            <w:color w:val="0000EE"/>
            <w:u w:val="single"/>
          </w:rPr>
          <w:t>Mal. 3:7</w:t>
        </w:r>
      </w:hyperlink>
      <w:r>
        <w:rPr>
          <w:lang w:val="id_ID" w:bidi="id_ID"/>
        </w:rPr>
        <w:t xml:space="preserve">; lihat juga </w:t>
      </w:r>
      <w:hyperlink r:id="rId17">
        <w:r>
          <w:rPr>
            <w:lang w:val="id_ID" w:bidi="id_ID"/>
          </w:rPr>
          <w:rPr>
            <w:color w:val="0000EE"/>
            <w:u w:val="single"/>
          </w:rPr>
          <w:t>Mzm. 80:3–14</w:t>
        </w:r>
      </w:hyperlink>
      <w:r>
        <w:rPr>
          <w:lang w:val="id_ID" w:bidi="id_ID"/>
        </w:rPr>
        <w:t xml:space="preserve">; </w:t>
      </w:r>
      <w:hyperlink r:id="rId18">
        <w:r>
          <w:rPr>
            <w:lang w:val="id_ID" w:bidi="id_ID"/>
          </w:rPr>
          <w:rPr>
            <w:color w:val="0000EE"/>
            <w:u w:val="single"/>
          </w:rPr>
          <w:t>85:4–8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1:4</w:t>
      </w:r>
      <w:r>
        <w:rPr>
          <w:lang w:val="id_ID" w:bidi="id_ID"/>
        </w:rPr>
      </w:r>
    </w:p>
    <w:p>
      <w:pPr/>
      <w:r>
        <w:rPr>
          <w:lang w:val="id_ID" w:bidi="id_ID"/>
        </w:rPr>
      </w:r>
      <w:r>
        <w:rPr>
          <w:lang w:val="id_ID" w:bidi="id_ID"/>
        </w:rPr>
        <w:t>Sebelum Pembuangan, para nabi sebelumnya secara aktif menyerukan kepada Yehuda dan Israel untuk bertobat. Zakharia terutama dipengaruhi oleh kenabian Yeremia dan Yehezkiel. • Nenek moyangmu … (yang) tidak mau mendengarkan: Orang-orang Israel (</w:t>
      </w:r>
      <w:hyperlink r:id="rId19">
        <w:r>
          <w:rPr>
            <w:lang w:val="id_ID" w:bidi="id_ID"/>
          </w:rPr>
          <w:rPr>
            <w:color w:val="0000EE"/>
            <w:u w:val="single"/>
          </w:rPr>
          <w:t>2Raj. 17:13–14</w:t>
        </w:r>
      </w:hyperlink>
      <w:r>
        <w:rPr>
          <w:lang w:val="id_ID" w:bidi="id_ID"/>
        </w:rPr>
        <w:t>) dan Yehuda (</w:t>
      </w:r>
      <w:hyperlink r:id="rId20">
        <w:r>
          <w:rPr>
            <w:lang w:val="id_ID" w:bidi="id_ID"/>
          </w:rPr>
          <w:rPr>
            <w:color w:val="0000EE"/>
            <w:u w:val="single"/>
          </w:rPr>
          <w:t>2Taw. 36:15–16</w:t>
        </w:r>
      </w:hyperlink>
      <w:r>
        <w:rPr>
          <w:lang w:val="id_ID" w:bidi="id_ID"/>
        </w:rPr>
        <w:t xml:space="preserve">) dibuang karena mereka keras kepala menolak mendengarkan firman Tuhan (bdk. </w:t>
      </w:r>
      <w:hyperlink r:id="rId21">
        <w:r>
          <w:rPr>
            <w:lang w:val="id_ID" w:bidi="id_ID"/>
          </w:rPr>
          <w:rPr>
            <w:color w:val="0000EE"/>
            <w:u w:val="single"/>
          </w:rPr>
          <w:t>2Taw. 30:7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Zakharia 1:6</w:t>
      </w:r>
      <w:r>
        <w:rPr>
          <w:lang w:val="id_ID" w:bidi="id_ID"/>
        </w:rPr>
      </w:r>
    </w:p>
    <w:p>
      <w:pPr/>
      <w:r>
        <w:rPr>
          <w:lang w:val="id_ID" w:bidi="id_ID"/>
        </w:rPr>
      </w:r>
      <w:r>
        <w:rPr>
          <w:lang w:val="id_ID" w:bidi="id_ID"/>
        </w:rPr>
        <w:t>segala … telah sampai: Kutukan Perjanjian (</w:t>
      </w:r>
      <w:hyperlink r:id="rId22">
        <w:r>
          <w:rPr>
            <w:lang w:val="id_ID" w:bidi="id_ID"/>
          </w:rPr>
          <w:rPr>
            <w:color w:val="0000EE"/>
            <w:u w:val="single"/>
          </w:rPr>
          <w:t>Ul. 28:15–68</w:t>
        </w:r>
      </w:hyperlink>
      <w:r>
        <w:rPr>
          <w:lang w:val="id_ID" w:bidi="id_ID"/>
        </w:rPr>
        <w:t>) telah menimpa nenek moyang mereka yang menolak untuk menaati Allah.</w:t>
      </w:r>
      <w:r>
        <w:rPr>
          <w:lang w:val="id_ID" w:bidi="id_ID"/>
        </w:rPr>
      </w:r>
      <w:r>
        <w:rPr>
          <w:lang w:val="id_ID" w:bidi="id_ID"/>
        </w:rPr>
      </w:r>
    </w:p>
    <w:p>
      <w:pPr/>
      <w:r>
        <w:rPr>
          <w:lang w:val="id_ID" w:bidi="id_ID"/>
        </w:rPr>
      </w:r>
    </w:p>
    <w:p>
      <w:pPr>
        <w:pStyle w:val="Heading2"/>
      </w:pPr>
      <w:r>
        <w:rPr>
          <w:lang w:val="id_ID" w:bidi="id_ID"/>
        </w:rPr>
        <w:t>Zakharia 1:7–17</w:t>
      </w:r>
      <w:r>
        <w:rPr>
          <w:lang w:val="id_ID" w:bidi="id_ID"/>
        </w:rPr>
      </w:r>
    </w:p>
    <w:p>
      <w:pPr/>
      <w:r>
        <w:rPr>
          <w:lang w:val="id_ID" w:bidi="id_ID"/>
        </w:rPr>
      </w:r>
      <w:r>
        <w:rPr>
          <w:lang w:val="id_ID" w:bidi="id_ID"/>
        </w:rPr>
        <w:t>Penglihatan pertama Zakharia menggambarkan kepedulian Allah terhadap Yerusalem (</w:t>
      </w:r>
      <w:hyperlink r:id="rId23">
        <w:r>
          <w:rPr>
            <w:lang w:val="id_ID" w:bidi="id_ID"/>
          </w:rPr>
          <w:rPr>
            <w:color w:val="0000EE"/>
            <w:u w:val="single"/>
          </w:rPr>
          <w:t>1:7–15</w:t>
        </w:r>
      </w:hyperlink>
      <w:r>
        <w:rPr>
          <w:lang w:val="id_ID" w:bidi="id_ID"/>
        </w:rPr>
        <w:t>), diikuti dengan sebuah tanggapan (</w:t>
      </w:r>
      <w:hyperlink r:id="rId24">
        <w:r>
          <w:rPr>
            <w:lang w:val="id_ID" w:bidi="id_ID"/>
          </w:rPr>
          <w:rPr>
            <w:color w:val="0000EE"/>
            <w:u w:val="single"/>
          </w:rPr>
          <w:t>1:16–17</w:t>
        </w:r>
      </w:hyperlink>
      <w:r>
        <w:rPr>
          <w:lang w:val="id_ID" w:bidi="id_ID"/>
        </w:rPr>
        <w:t>) yang menegaskan niat Allah untuk membangun kembali Bait-Nya dan memulihkan kemakmuran kota itu.</w:t>
      </w:r>
      <w:r>
        <w:rPr>
          <w:lang w:val="id_ID" w:bidi="id_ID"/>
        </w:rPr>
      </w:r>
      <w:r>
        <w:rPr>
          <w:lang w:val="id_ID" w:bidi="id_ID"/>
        </w:rPr>
      </w:r>
    </w:p>
    <w:p>
      <w:pPr/>
      <w:r>
        <w:rPr>
          <w:lang w:val="id_ID" w:bidi="id_ID"/>
        </w:rPr>
      </w:r>
    </w:p>
    <w:p>
      <w:pPr>
        <w:pStyle w:val="Heading2"/>
      </w:pPr>
      <w:r>
        <w:rPr>
          <w:lang w:val="id_ID" w:bidi="id_ID"/>
        </w:rPr>
        <w:t>Zakharia 1:7–6.15</w:t>
      </w:r>
      <w:r>
        <w:rPr>
          <w:lang w:val="id_ID" w:bidi="id_ID"/>
        </w:rPr>
      </w:r>
    </w:p>
    <w:p>
      <w:pPr/>
      <w:r>
        <w:rPr>
          <w:lang w:val="id_ID" w:bidi="id_ID"/>
        </w:rPr>
      </w:r>
      <w:r>
        <w:rPr>
          <w:lang w:val="id_ID" w:bidi="id_ID"/>
        </w:rPr>
        <w:t>Kedelapan penglihatan ini merespons ketakutan orang-orang Yudea yang menghalangi mereka untuk beriman terhadap janji-janji Allah. Penglihatan-penglihatan ini, yang terjadi dua bulan setelah dua pesan terakhir Hagai (</w:t>
      </w:r>
      <w:hyperlink r:id="rId25">
        <w:r>
          <w:rPr>
            <w:lang w:val="id_ID" w:bidi="id_ID"/>
          </w:rPr>
          <w:rPr>
            <w:color w:val="0000EE"/>
            <w:u w:val="single"/>
          </w:rPr>
          <w:t>Hag. 2:10–19</w:t>
        </w:r>
      </w:hyperlink>
      <w:r>
        <w:rPr>
          <w:lang w:val="id_ID" w:bidi="id_ID"/>
        </w:rPr>
        <w:t xml:space="preserve">, </w:t>
      </w:r>
      <w:hyperlink r:id="rId26">
        <w:r>
          <w:rPr>
            <w:lang w:val="id_ID" w:bidi="id_ID"/>
          </w:rPr>
          <w:rPr>
            <w:color w:val="0000EE"/>
            <w:u w:val="single"/>
          </w:rPr>
          <w:t>20–23</w:t>
        </w:r>
      </w:hyperlink>
      <w:r>
        <w:rPr>
          <w:lang w:val="id_ID" w:bidi="id_ID"/>
        </w:rPr>
        <w:t>), menunjukkan bahwa nubuat-nubuat Hagai sedang digenapi.</w:t>
      </w:r>
      <w:r>
        <w:rPr>
          <w:lang w:val="id_ID" w:bidi="id_ID"/>
        </w:rPr>
      </w:r>
      <w:r>
        <w:rPr>
          <w:lang w:val="id_ID" w:bidi="id_ID"/>
        </w:rPr>
      </w:r>
    </w:p>
    <w:p>
      <w:pPr/>
      <w:r>
        <w:rPr>
          <w:lang w:val="id_ID" w:bidi="id_ID"/>
        </w:rPr>
      </w:r>
    </w:p>
    <w:p>
      <w:pPr>
        <w:pStyle w:val="Heading2"/>
      </w:pPr>
      <w:r>
        <w:rPr>
          <w:lang w:val="id_ID" w:bidi="id_ID"/>
        </w:rPr>
        <w:t>Zakharia 1:8</w:t>
      </w:r>
      <w:r>
        <w:rPr>
          <w:lang w:val="id_ID" w:bidi="id_ID"/>
        </w:rPr>
      </w:r>
    </w:p>
    <w:p>
      <w:pPr/>
      <w:r>
        <w:rPr>
          <w:lang w:val="id_ID" w:bidi="id_ID"/>
        </w:rPr>
      </w:r>
      <w:r>
        <w:rPr>
          <w:lang w:val="id_ID" w:bidi="id_ID"/>
        </w:rPr>
        <w:t>Penglihatan pada malam hari mengikuti pola standar: pernyataan dalam pengantar, deskripsi penglihatan, permintaan nabi untuk penafsiran, dan penjelasan malaikat. • Pohon murad mungkin berada di lembah Kidron yang berhutan di luar Yerusalem. Tuhan secara simbolis telah kembali ke pinggiran kota tetapi belum memasuki Yerusalem karena Bait Suci masih dalam pembangunan. • Warna kuda merah, coklat, dan putih tidak signifikan terhadap makna penglihatan ini. Para malaikat penunggang ini berpatroli di bumi (</w:t>
      </w:r>
      <w:hyperlink r:id="rId27">
        <w:r>
          <w:rPr>
            <w:lang w:val="id_ID" w:bidi="id_ID"/>
          </w:rPr>
          <w:rPr>
            <w:color w:val="0000EE"/>
            <w:u w:val="single"/>
          </w:rPr>
          <w:t>1:10</w:t>
        </w:r>
      </w:hyperlink>
      <w:r>
        <w:rPr>
          <w:lang w:val="id_ID" w:bidi="id_ID"/>
        </w:rPr>
        <w:t>), menunjukkan perhatian Allah yang terus-menerus terhadap Yerusalem.</w:t>
      </w:r>
      <w:r>
        <w:rPr>
          <w:lang w:val="id_ID" w:bidi="id_ID"/>
        </w:rPr>
      </w:r>
      <w:r>
        <w:rPr>
          <w:lang w:val="id_ID" w:bidi="id_ID"/>
        </w:rPr>
      </w:r>
    </w:p>
    <w:p>
      <w:pPr/>
      <w:r>
        <w:rPr>
          <w:lang w:val="id_ID" w:bidi="id_ID"/>
        </w:rPr>
      </w:r>
    </w:p>
    <w:p>
      <w:pPr>
        <w:pStyle w:val="Heading2"/>
      </w:pPr>
      <w:r>
        <w:rPr>
          <w:lang w:val="id_ID" w:bidi="id_ID"/>
        </w:rPr>
        <w:t>Zakharia 1:10</w:t>
      </w:r>
      <w:r>
        <w:rPr>
          <w:lang w:val="id_ID" w:bidi="id_ID"/>
        </w:rPr>
      </w:r>
    </w:p>
    <w:p>
      <w:pPr/>
      <w:r>
        <w:rPr>
          <w:lang w:val="id_ID" w:bidi="id_ID"/>
        </w:rPr>
      </w:r>
      <w:r>
        <w:rPr>
          <w:lang w:val="id_ID" w:bidi="id_ID"/>
        </w:rPr>
        <w:t>Penjelajahan menunjukkan pengawasan berkelanjutan oleh para malaikat penunggang terhadap bumi.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