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3">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4">
        <w:r>
          <w:rPr>
            <w:lang w:val="zh_TW" w:bidi="zh_TW"/>
          </w:rPr>
          <w:rPr>
            <w:color w:val="0000EE"/>
            <w:u w:val="single"/>
          </w:rPr>
          <w:t>書14:7</w:t>
        </w:r>
      </w:hyperlink>
      <w:r>
        <w:rPr>
          <w:lang w:val="zh_TW" w:bidi="zh_TW"/>
        </w:rPr>
        <w:t>，</w:t>
      </w:r>
      <w:hyperlink r:id="rId15">
        <w:r>
          <w:rPr>
            <w:lang w:val="zh_TW" w:bidi="zh_TW"/>
          </w:rPr>
          <w:rPr>
            <w:color w:val="0000EE"/>
            <w:u w:val="single"/>
          </w:rPr>
          <w:t>24:29</w:t>
        </w:r>
      </w:hyperlink>
      <w:r>
        <w:rPr>
          <w:lang w:val="zh_TW" w:bidi="zh_TW"/>
        </w:rPr>
        <w:t>；</w:t>
      </w:r>
      <w:hyperlink r:id="rId16">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7">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18">
        <w:r>
          <w:rPr>
            <w:lang w:val="zh_TW" w:bidi="zh_TW"/>
          </w:rPr>
          <w:rPr>
            <w:color w:val="0000EE"/>
            <w:u w:val="single"/>
          </w:rPr>
          <w:t>約1:1</w:t>
        </w:r>
      </w:hyperlink>
      <w:r>
        <w:rPr>
          <w:lang w:val="zh_TW" w:bidi="zh_TW"/>
        </w:rPr>
        <w:t>，</w:t>
      </w:r>
      <w:hyperlink r:id="rId19">
        <w:r>
          <w:rPr>
            <w:lang w:val="zh_TW" w:bidi="zh_TW"/>
          </w:rPr>
          <w:rPr>
            <w:color w:val="0000EE"/>
            <w:u w:val="single"/>
          </w:rPr>
          <w:t>20:28</w:t>
        </w:r>
      </w:hyperlink>
      <w:r>
        <w:rPr>
          <w:lang w:val="zh_TW" w:bidi="zh_TW"/>
        </w:rPr>
        <w:t>；</w:t>
      </w:r>
      <w:hyperlink r:id="rId20">
        <w:r>
          <w:rPr>
            <w:lang w:val="zh_TW" w:bidi="zh_TW"/>
          </w:rPr>
          <w:rPr>
            <w:color w:val="0000EE"/>
            <w:u w:val="single"/>
          </w:rPr>
          <w:t>羅9:5</w:t>
        </w:r>
      </w:hyperlink>
      <w:r>
        <w:rPr>
          <w:lang w:val="zh_TW" w:bidi="zh_TW"/>
        </w:rPr>
        <w:t>；</w:t>
      </w:r>
      <w:hyperlink r:id="rId21">
        <w:r>
          <w:rPr>
            <w:lang w:val="zh_TW" w:bidi="zh_TW"/>
          </w:rPr>
          <w:rPr>
            <w:color w:val="0000EE"/>
            <w:u w:val="single"/>
          </w:rPr>
          <w:t>多2:13</w:t>
        </w:r>
      </w:hyperlink>
      <w:r>
        <w:rPr>
          <w:lang w:val="zh_TW" w:bidi="zh_TW"/>
        </w:rPr>
        <w:t>；</w:t>
      </w:r>
      <w:hyperlink r:id="rId22">
        <w:r>
          <w:rPr>
            <w:lang w:val="zh_TW" w:bidi="zh_TW"/>
          </w:rPr>
          <w:rPr>
            <w:color w:val="0000EE"/>
            <w:u w:val="single"/>
          </w:rPr>
          <w:t>來1:8</w:t>
        </w:r>
      </w:hyperlink>
      <w:r>
        <w:rPr>
          <w:lang w:val="zh_TW" w:bidi="zh_TW"/>
        </w:rPr>
        <w:t>；</w:t>
      </w:r>
      <w:hyperlink r:id="rId23">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5">
        <w:r>
          <w:rPr>
            <w:lang w:val="zh_TW" w:bidi="zh_TW"/>
          </w:rPr>
          <w:rPr>
            <w:color w:val="0000EE"/>
            <w:u w:val="single"/>
          </w:rPr>
          <w:t>1:3–4</w:t>
        </w:r>
      </w:hyperlink>
      <w:r>
        <w:rPr>
          <w:lang w:val="zh_TW" w:bidi="zh_TW"/>
        </w:rPr>
        <w:t>），構成了一個迫切地勸勉的基礎，敦促人們要在對基督的認識上長進（</w:t>
      </w:r>
      <w:hyperlink r:id="rId26">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7">
        <w:r>
          <w:rPr>
            <w:lang w:val="zh_TW" w:bidi="zh_TW"/>
          </w:rPr>
          <w:rPr>
            <w:color w:val="0000EE"/>
            <w:u w:val="single"/>
          </w:rPr>
          <w:t>利11:44</w:t>
        </w:r>
      </w:hyperlink>
      <w:r>
        <w:rPr>
          <w:lang w:val="zh_TW" w:bidi="zh_TW"/>
        </w:rPr>
        <w:t>；</w:t>
      </w:r>
      <w:hyperlink r:id="rId28">
        <w:r>
          <w:rPr>
            <w:lang w:val="zh_TW" w:bidi="zh_TW"/>
          </w:rPr>
          <w:rPr>
            <w:color w:val="0000EE"/>
            <w:u w:val="single"/>
          </w:rPr>
          <w:t>太5:43–48</w:t>
        </w:r>
      </w:hyperlink>
      <w:r>
        <w:rPr>
          <w:lang w:val="zh_TW" w:bidi="zh_TW"/>
        </w:rPr>
        <w:t>；</w:t>
      </w:r>
      <w:hyperlink r:id="rId29">
        <w:r>
          <w:rPr>
            <w:lang w:val="zh_TW" w:bidi="zh_TW"/>
          </w:rPr>
          <w:rPr>
            <w:color w:val="0000EE"/>
            <w:u w:val="single"/>
          </w:rPr>
          <w:t>弗4:24</w:t>
        </w:r>
      </w:hyperlink>
      <w:r>
        <w:rPr>
          <w:lang w:val="zh_TW" w:bidi="zh_TW"/>
        </w:rPr>
        <w:t>，</w:t>
      </w:r>
      <w:hyperlink r:id="rId30">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2">
        <w:r>
          <w:rPr>
            <w:lang w:val="zh_TW" w:bidi="zh_TW"/>
          </w:rPr>
          <w:rPr>
            <w:color w:val="0000EE"/>
            <w:u w:val="single"/>
          </w:rPr>
          <w:t>申31–33</w:t>
        </w:r>
      </w:hyperlink>
      <w:r>
        <w:rPr>
          <w:lang w:val="zh_TW" w:bidi="zh_TW"/>
        </w:rPr>
        <w:t>；</w:t>
      </w:r>
      <w:hyperlink r:id="rId33">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4">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5">
        <w:r>
          <w:rPr>
            <w:lang w:val="zh_TW" w:bidi="zh_TW"/>
          </w:rPr>
          <w:rPr>
            <w:color w:val="0000EE"/>
            <w:u w:val="single"/>
          </w:rPr>
          <w:t>太17:1–9</w:t>
        </w:r>
      </w:hyperlink>
      <w:r>
        <w:rPr>
          <w:lang w:val="zh_TW" w:bidi="zh_TW"/>
        </w:rPr>
        <w:t>；</w:t>
      </w:r>
      <w:hyperlink r:id="rId36">
        <w:r>
          <w:rPr>
            <w:lang w:val="zh_TW" w:bidi="zh_TW"/>
          </w:rPr>
          <w:rPr>
            <w:color w:val="0000EE"/>
            <w:u w:val="single"/>
          </w:rPr>
          <w:t>可9:2–8</w:t>
        </w:r>
      </w:hyperlink>
      <w:r>
        <w:rPr>
          <w:lang w:val="zh_TW" w:bidi="zh_TW"/>
        </w:rPr>
        <w:t>；</w:t>
      </w:r>
      <w:hyperlink r:id="rId37">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38">
        <w:r>
          <w:rPr>
            <w:lang w:val="zh_TW" w:bidi="zh_TW"/>
          </w:rPr>
          <w:rPr>
            <w:color w:val="0000EE"/>
            <w:u w:val="single"/>
          </w:rPr>
          <w:t>2</w:t>
        </w:r>
      </w:hyperlink>
      <w:r>
        <w:rPr>
          <w:lang w:val="zh_TW" w:bidi="zh_TW"/>
        </w:rPr>
        <w:t>章）是以耶穌確定會再來的這個教導為框架（另見</w:t>
      </w:r>
      <w:hyperlink r:id="rId39">
        <w:r>
          <w:rPr>
            <w:lang w:val="zh_TW" w:bidi="zh_TW"/>
          </w:rPr>
          <w:rPr>
            <w:color w:val="0000EE"/>
            <w:u w:val="single"/>
          </w:rPr>
          <w:t>3:1–13</w:t>
        </w:r>
      </w:hyperlink>
      <w:r>
        <w:rPr>
          <w:lang w:val="zh_TW" w:bidi="zh_TW"/>
        </w:rPr>
        <w:t>）。假教師可能否認基督再來和審判的真實性。而彼得親眼見證的經歷（</w:t>
      </w:r>
      <w:hyperlink r:id="rId40">
        <w:r>
          <w:rPr>
            <w:lang w:val="zh_TW" w:bidi="zh_TW"/>
          </w:rPr>
          <w:rPr>
            <w:color w:val="0000EE"/>
            <w:u w:val="single"/>
          </w:rPr>
          <w:t>1:16–18</w:t>
        </w:r>
      </w:hyperlink>
      <w:r>
        <w:rPr>
          <w:lang w:val="zh_TW" w:bidi="zh_TW"/>
        </w:rPr>
        <w:t>）和聖經預言的內在可靠性（</w:t>
      </w:r>
      <w:hyperlink r:id="rId41">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2">
        <w:r>
          <w:rPr>
            <w:lang w:val="zh_TW" w:bidi="zh_TW"/>
          </w:rPr>
          <w:rPr>
            <w:color w:val="0000EE"/>
            <w:u w:val="single"/>
          </w:rPr>
          <w:t>賽13:4–12</w:t>
        </w:r>
      </w:hyperlink>
      <w:r>
        <w:rPr>
          <w:lang w:val="zh_TW" w:bidi="zh_TW"/>
        </w:rPr>
        <w:t>；</w:t>
      </w:r>
      <w:hyperlink r:id="rId43">
        <w:r>
          <w:rPr>
            <w:lang w:val="zh_TW" w:bidi="zh_TW"/>
          </w:rPr>
          <w:rPr>
            <w:color w:val="0000EE"/>
            <w:u w:val="single"/>
          </w:rPr>
          <w:t>珥2:1–32</w:t>
        </w:r>
      </w:hyperlink>
      <w:r>
        <w:rPr>
          <w:lang w:val="zh_TW" w:bidi="zh_TW"/>
        </w:rPr>
        <w:t>；</w:t>
      </w:r>
      <w:hyperlink r:id="rId44">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5">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6">
        <w:r>
          <w:rPr>
            <w:lang w:val="zh_TW" w:bidi="zh_TW"/>
          </w:rPr>
          <w:rPr>
            <w:color w:val="0000EE"/>
            <w:u w:val="single"/>
          </w:rPr>
          <w:t>太24:11</w:t>
        </w:r>
      </w:hyperlink>
      <w:r>
        <w:rPr>
          <w:lang w:val="zh_TW" w:bidi="zh_TW"/>
        </w:rPr>
        <w:t>、</w:t>
      </w:r>
      <w:hyperlink r:id="rId47">
        <w:r>
          <w:rPr>
            <w:lang w:val="zh_TW" w:bidi="zh_TW"/>
          </w:rPr>
          <w:rPr>
            <w:color w:val="0000EE"/>
            <w:u w:val="single"/>
          </w:rPr>
          <w:t>24</w:t>
        </w:r>
      </w:hyperlink>
      <w:r>
        <w:rPr>
          <w:lang w:val="zh_TW" w:bidi="zh_TW"/>
        </w:rPr>
        <w:t>；</w:t>
      </w:r>
      <w:hyperlink r:id="rId48">
        <w:r>
          <w:rPr>
            <w:lang w:val="zh_TW" w:bidi="zh_TW"/>
          </w:rPr>
          <w:rPr>
            <w:color w:val="0000EE"/>
            <w:u w:val="single"/>
          </w:rPr>
          <w:t>可13:22</w:t>
        </w:r>
      </w:hyperlink>
      <w:r>
        <w:rPr>
          <w:lang w:val="zh_TW" w:bidi="zh_TW"/>
        </w:rPr>
        <w:t>；參</w:t>
      </w:r>
      <w:hyperlink r:id="rId49">
        <w:r>
          <w:rPr>
            <w:lang w:val="zh_TW" w:bidi="zh_TW"/>
          </w:rPr>
          <w:rPr>
            <w:color w:val="0000EE"/>
            <w:u w:val="single"/>
          </w:rPr>
          <w:t>徒20:29–31</w:t>
        </w:r>
      </w:hyperlink>
      <w:r>
        <w:rPr>
          <w:lang w:val="zh_TW" w:bidi="zh_TW"/>
        </w:rPr>
        <w:t>；</w:t>
      </w:r>
      <w:hyperlink r:id="rId50">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1">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2">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3">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4">
        <w:r>
          <w:rPr>
            <w:lang w:val="zh_TW" w:bidi="zh_TW"/>
          </w:rPr>
          <w:rPr>
            <w:color w:val="0000EE"/>
            <w:u w:val="single"/>
          </w:rPr>
          <w:t>彼前3:19–20</w:t>
        </w:r>
      </w:hyperlink>
      <w:r>
        <w:rPr>
          <w:lang w:val="zh_TW" w:bidi="zh_TW"/>
        </w:rPr>
        <w:t>；</w:t>
      </w:r>
      <w:hyperlink r:id="rId55">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7">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58">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59">
        <w:r>
          <w:rPr>
            <w:lang w:val="zh_TW" w:bidi="zh_TW"/>
          </w:rPr>
          <w:rPr>
            <w:color w:val="0000EE"/>
            <w:u w:val="single"/>
          </w:rPr>
          <w:t>2:5</w:t>
        </w:r>
      </w:hyperlink>
      <w:r>
        <w:rPr>
          <w:lang w:val="zh_TW" w:bidi="zh_TW"/>
        </w:rPr>
        <w:t>）和羅得（</w:t>
      </w:r>
      <w:hyperlink r:id="rId60">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2">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3">
        <w:r>
          <w:rPr>
            <w:lang w:val="zh_TW" w:bidi="zh_TW"/>
          </w:rPr>
          <w:rPr>
            <w:color w:val="0000EE"/>
            <w:u w:val="single"/>
          </w:rPr>
          <w:t>猶大書一章12節</w:t>
        </w:r>
      </w:hyperlink>
      <w:r>
        <w:rPr>
          <w:lang w:val="zh_TW" w:bidi="zh_TW"/>
        </w:rPr>
        <w:t>。基督徒經常一起團契吃飯來敬拜紀念主（見</w:t>
      </w:r>
      <w:hyperlink r:id="rId64">
        <w:r>
          <w:rPr>
            <w:lang w:val="zh_TW" w:bidi="zh_TW"/>
          </w:rPr>
          <w:rPr>
            <w:color w:val="0000EE"/>
            <w:u w:val="single"/>
          </w:rPr>
          <w:t>徒2:46</w:t>
        </w:r>
      </w:hyperlink>
      <w:r>
        <w:rPr>
          <w:lang w:val="zh_TW" w:bidi="zh_TW"/>
        </w:rPr>
        <w:t>，</w:t>
      </w:r>
      <w:hyperlink r:id="rId65">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6">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7">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68">
        <w:r>
          <w:rPr>
            <w:lang w:val="zh_TW" w:bidi="zh_TW"/>
          </w:rPr>
          <w:rPr>
            <w:color w:val="0000EE"/>
            <w:u w:val="single"/>
          </w:rPr>
          <w:t>羅6:16</w:t>
        </w:r>
      </w:hyperlink>
      <w:r>
        <w:rPr>
          <w:lang w:val="zh_TW" w:bidi="zh_TW"/>
        </w:rPr>
        <w:t>）。假教師雖然沉浸在他們脫離權柄而得的自由中（見</w:t>
      </w:r>
      <w:hyperlink r:id="rId69">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0">
        <w:r>
          <w:rPr>
            <w:lang w:val="zh_TW" w:bidi="zh_TW"/>
          </w:rPr>
          <w:rPr>
            <w:color w:val="0000EE"/>
            <w:u w:val="single"/>
          </w:rPr>
          <w:t>徒2:17</w:t>
        </w:r>
      </w:hyperlink>
      <w:r>
        <w:rPr>
          <w:lang w:val="zh_TW" w:bidi="zh_TW"/>
        </w:rPr>
        <w:t>；</w:t>
      </w:r>
      <w:hyperlink r:id="rId71">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2">
        <w:r>
          <w:rPr>
            <w:lang w:val="zh_TW" w:bidi="zh_TW"/>
          </w:rPr>
          <w:rPr>
            <w:color w:val="0000EE"/>
            <w:u w:val="single"/>
          </w:rPr>
          <w:t>箴言一章22節</w:t>
        </w:r>
      </w:hyperlink>
      <w:r>
        <w:rPr>
          <w:lang w:val="zh_TW" w:bidi="zh_TW"/>
        </w:rPr>
        <w:t>，</w:t>
      </w:r>
      <w:hyperlink r:id="rId73">
        <w:r>
          <w:rPr>
            <w:lang w:val="zh_TW" w:bidi="zh_TW"/>
          </w:rPr>
          <w:rPr>
            <w:color w:val="0000EE"/>
            <w:u w:val="single"/>
          </w:rPr>
          <w:t>九章7至8節</w:t>
        </w:r>
      </w:hyperlink>
      <w:r>
        <w:rPr>
          <w:lang w:val="zh_TW" w:bidi="zh_TW"/>
        </w:rPr>
        <w:t>，</w:t>
      </w:r>
      <w:hyperlink r:id="rId74">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5">
        <w:r>
          <w:rPr>
            <w:lang w:val="zh_TW" w:bidi="zh_TW"/>
          </w:rPr>
          <w:rPr>
            <w:color w:val="0000EE"/>
            <w:u w:val="single"/>
          </w:rPr>
          <w:t>創世記一章2節</w:t>
        </w:r>
      </w:hyperlink>
      <w:r>
        <w:rPr>
          <w:lang w:val="zh_TW" w:bidi="zh_TW"/>
        </w:rPr>
        <w:t>、</w:t>
      </w:r>
      <w:hyperlink r:id="rId76">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7">
        <w:r>
          <w:rPr>
            <w:lang w:val="zh_TW" w:bidi="zh_TW"/>
          </w:rPr>
          <w:rPr>
            <w:color w:val="0000EE"/>
            <w:u w:val="single"/>
          </w:rPr>
          <w:t>賽30:30</w:t>
        </w:r>
      </w:hyperlink>
      <w:r>
        <w:rPr>
          <w:lang w:val="zh_TW" w:bidi="zh_TW"/>
        </w:rPr>
        <w:t>，</w:t>
      </w:r>
      <w:hyperlink r:id="rId78">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79">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0">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1">
        <w:r>
          <w:rPr>
            <w:lang w:val="zh_TW" w:bidi="zh_TW"/>
          </w:rPr>
          <w:rPr>
            <w:color w:val="0000EE"/>
            <w:u w:val="single"/>
          </w:rPr>
          <w:t>彌迦書一章3至4節</w:t>
        </w:r>
      </w:hyperlink>
      <w:r>
        <w:rPr>
          <w:lang w:val="zh_TW" w:bidi="zh_TW"/>
        </w:rPr>
        <w:t>；另見</w:t>
      </w:r>
      <w:hyperlink r:id="rId82">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3">
        <w:r>
          <w:rPr>
            <w:lang w:val="zh_TW" w:bidi="zh_TW"/>
          </w:rPr>
          <w:rPr>
            <w:color w:val="0000EE"/>
            <w:u w:val="single"/>
          </w:rPr>
          <w:t>以賽亞書六十五章17節</w:t>
        </w:r>
      </w:hyperlink>
      <w:r>
        <w:rPr>
          <w:lang w:val="zh_TW" w:bidi="zh_TW"/>
        </w:rPr>
        <w:t>，</w:t>
      </w:r>
      <w:hyperlink r:id="rId84">
        <w:r>
          <w:rPr>
            <w:lang w:val="zh_TW" w:bidi="zh_TW"/>
          </w:rPr>
          <w:rPr>
            <w:color w:val="0000EE"/>
            <w:u w:val="single"/>
          </w:rPr>
          <w:t>六十六章22節</w:t>
        </w:r>
      </w:hyperlink>
      <w:r>
        <w:rPr>
          <w:lang w:val="zh_TW" w:bidi="zh_TW"/>
        </w:rPr>
        <w:t>；</w:t>
      </w:r>
      <w:hyperlink r:id="rId85">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6">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7">
        <w:r>
          <w:rPr>
            <w:lang w:val="zh_TW" w:bidi="zh_TW"/>
          </w:rPr>
          <w:rPr>
            <w:color w:val="0000EE"/>
            <w:u w:val="single"/>
          </w:rPr>
          <w:t>徒11:2–18</w:t>
        </w:r>
      </w:hyperlink>
      <w:r>
        <w:rPr>
          <w:lang w:val="zh_TW" w:bidi="zh_TW"/>
        </w:rPr>
        <w:t>，</w:t>
      </w:r>
      <w:hyperlink r:id="rId88">
        <w:r>
          <w:rPr>
            <w:lang w:val="zh_TW" w:bidi="zh_TW"/>
          </w:rPr>
          <w:rPr>
            <w:color w:val="0000EE"/>
            <w:u w:val="single"/>
          </w:rPr>
          <w:t>15:7–11</w:t>
        </w:r>
      </w:hyperlink>
      <w:r>
        <w:rPr>
          <w:lang w:val="zh_TW" w:bidi="zh_TW"/>
        </w:rPr>
        <w:t>）。西拉和馬可是保羅和彼得的同工（見</w:t>
      </w:r>
      <w:hyperlink r:id="rId89">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