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Jude 1.1</w:t>
      </w:r>
      <w:r>
        <w:rPr>
          <w:lang w:val="fr_FR" w:bidi="fr_FR"/>
        </w:rPr>
      </w:r>
    </w:p>
    <w:p>
      <w:pPr>
        <w:pStyle w:val="ListBullet"/>
        <w:spacing w:line="240" w:lineRule="auto"/>
        <w:ind w:left="720"/>
      </w:pPr>
      <w:r>
        <w:rPr>
          <w:lang w:val="fr_FR" w:bidi="fr_FR"/>
        </w:rPr>
      </w:r>
      <w:r>
        <w:rPr>
          <w:lang w:val="fr_FR" w:bidi="fr_FR"/>
        </w:rPr>
        <w:t>Jude</w:t>
      </w:r>
      <w:r>
        <w:rPr>
          <w:lang w:val="fr_FR" w:bidi="fr_FR"/>
        </w:rPr>
        <w:t xml:space="preserve"> est la forme grecque du nom hébreu « Juda », un nom courant à l’époque. L’auteur de cette lettre se présente comme le frère de Jacques, lui-même frère de Jésus</w:t>
      </w:r>
      <w:r>
        <w:rPr>
          <w:lang w:val="fr_FR" w:bidi="fr_FR"/>
        </w:rPr>
        <w:t xml:space="preserve"> (voir Introduction au livre de Jude, « Auteur »).</w:t>
      </w:r>
    </w:p>
    <w:p>
      <w:pPr>
        <w:pStyle w:val="ListBullet"/>
        <w:spacing w:line="240" w:lineRule="auto"/>
        <w:ind w:left="720"/>
      </w:pPr>
      <w:r>
        <w:rPr>
          <w:lang w:val="fr_FR" w:bidi="fr_FR"/>
        </w:rPr>
      </w:r>
      <w:r>
        <w:rPr>
          <w:i/>
          <w:lang w:val="fr_FR" w:bidi="fr_FR"/>
        </w:rPr>
        <w:t>serviteur de Jésus-Christ</w:t>
      </w:r>
      <w:r>
        <w:rPr>
          <w:lang w:val="fr_FR" w:bidi="fr_FR"/>
        </w:rPr>
        <w:t xml:space="preserve"> : </w:t>
      </w:r>
      <w:r>
        <w:rPr>
          <w:lang w:val="fr_FR" w:bidi="fr_FR"/>
        </w:rPr>
        <w:t>En se désignant ainsi, Jude affirme son obéissance et son attachement profond au Christ dans tous les domaines de sa vie. Ce titre témoigne aussi d’un profond respect : dans l’Ancien Testament, les grands chefs étaient souvent appelés serviteurs de l’Éternel</w:t>
      </w:r>
      <w:r>
        <w:rPr>
          <w:lang w:val="fr_FR" w:bidi="fr_FR"/>
        </w:rPr>
        <w:t xml:space="preserve"> (voir </w:t>
      </w:r>
      <w:r>
        <w:rPr>
          <w:lang w:val="fr_FR" w:bidi="fr_FR"/>
        </w:rPr>
        <w:t>Jos 14.7</w:t>
      </w:r>
      <w:r>
        <w:rPr>
          <w:lang w:val="fr_FR" w:bidi="fr_FR"/>
        </w:rPr>
        <w:t xml:space="preserve"> ; </w:t>
      </w:r>
      <w:r>
        <w:rPr>
          <w:lang w:val="fr_FR" w:bidi="fr_FR"/>
        </w:rPr>
        <w:t>2R 18.12</w:t>
      </w:r>
      <w:r>
        <w:rPr>
          <w:lang w:val="fr_FR" w:bidi="fr_FR"/>
        </w:rPr>
        <w:t xml:space="preserve"> ; </w:t>
      </w:r>
      <w:r>
        <w:rPr>
          <w:lang w:val="fr_FR" w:bidi="fr_FR"/>
        </w:rPr>
        <w:t>Ez 34.23</w:t>
      </w:r>
      <w:r>
        <w:rPr>
          <w:lang w:val="fr_FR" w:bidi="fr_FR"/>
        </w:rPr>
        <w:t>).</w:t>
      </w:r>
    </w:p>
    <w:p>
      <w:pPr>
        <w:pStyle w:val="ListBullet"/>
        <w:spacing w:line="240" w:lineRule="auto"/>
        <w:ind w:left="720"/>
      </w:pPr>
      <w:r>
        <w:rPr>
          <w:lang w:val="fr_FR" w:bidi="fr_FR"/>
        </w:rPr>
      </w:r>
      <w:r>
        <w:rPr>
          <w:i/>
          <w:lang w:val="fr_FR" w:bidi="fr_FR"/>
        </w:rPr>
        <w:t>à ceux qui ont été appelé</w:t>
      </w:r>
      <w:r>
        <w:rPr>
          <w:i/>
          <w:lang w:val="fr_FR" w:bidi="fr_FR"/>
        </w:rPr>
        <w:t>s</w:t>
      </w:r>
      <w:r>
        <w:rPr>
          <w:lang w:val="fr_FR" w:bidi="fr_FR"/>
        </w:rPr>
        <w:t xml:space="preserve"> : </w:t>
      </w:r>
      <w:r>
        <w:rPr>
          <w:lang w:val="fr_FR" w:bidi="fr_FR"/>
        </w:rPr>
        <w:t>L’identité précise des destinataires de cette lettre reste inconnue.</w:t>
      </w:r>
      <w:r>
        <w:rPr>
          <w:lang w:val="fr_FR" w:bidi="fr_FR"/>
        </w:rPr>
      </w:r>
      <w:r>
        <w:rPr>
          <w:lang w:val="fr_FR" w:bidi="fr_FR"/>
        </w:rPr>
      </w:r>
    </w:p>
    <w:p>
      <w:pPr/>
      <w:r>
        <w:rPr>
          <w:lang w:val="fr_FR" w:bidi="fr_FR"/>
        </w:rPr>
      </w:r>
    </w:p>
    <w:p>
      <w:pPr>
        <w:pStyle w:val="Heading2"/>
      </w:pPr>
      <w:r>
        <w:rPr>
          <w:lang w:val="fr_FR" w:bidi="fr_FR"/>
        </w:rPr>
        <w:t>Jude 1.1–2</w:t>
      </w:r>
      <w:r>
        <w:rPr>
          <w:lang w:val="fr_FR" w:bidi="fr_FR"/>
        </w:rPr>
      </w:r>
    </w:p>
    <w:p>
      <w:pPr>
        <w:pStyle w:val="ListBullet"/>
        <w:spacing w:line="240" w:lineRule="auto"/>
        <w:ind w:left="720"/>
      </w:pPr>
      <w:r>
        <w:rPr>
          <w:lang w:val="fr_FR" w:bidi="fr_FR"/>
        </w:rPr>
      </w:r>
      <w:r>
        <w:rPr>
          <w:lang w:val="fr_FR" w:bidi="fr_FR"/>
        </w:rPr>
        <w:t>Fidèle à la structure classique d’une lettre, Jude commence par se présenter, désigne ses destinataires et formule une prière en leur faveur.</w:t>
      </w:r>
    </w:p>
    <w:p>
      <w:pPr>
        <w:pStyle w:val="ListBullet"/>
        <w:spacing w:line="240" w:lineRule="auto"/>
        <w:ind w:left="720"/>
      </w:pPr>
      <w:r>
        <w:rPr>
          <w:lang w:val="fr_FR" w:bidi="fr_FR"/>
        </w:rPr>
      </w:r>
      <w:r>
        <w:rPr>
          <w:i/>
          <w:lang w:val="fr_FR" w:bidi="fr_FR"/>
        </w:rPr>
        <w:t>gardés pour Jésus-Christ</w:t>
      </w:r>
      <w:r>
        <w:rPr>
          <w:lang w:val="fr_FR" w:bidi="fr_FR"/>
        </w:rPr>
        <w:t xml:space="preserve"> : </w:t>
      </w:r>
      <w:r>
        <w:rPr>
          <w:lang w:val="fr_FR" w:bidi="fr_FR"/>
        </w:rPr>
        <w:t>Cette expression met en lumière une vérité essentielle</w:t>
      </w:r>
      <w:r>
        <w:rPr>
          <w:lang w:val="fr_FR" w:bidi="fr_FR"/>
        </w:rPr>
        <w:t xml:space="preserve"> (voir aussi </w:t>
      </w:r>
      <w:r>
        <w:rPr>
          <w:lang w:val="fr_FR" w:bidi="fr_FR"/>
        </w:rPr>
        <w:t>1.21</w:t>
      </w:r>
      <w:r>
        <w:rPr>
          <w:lang w:val="fr_FR" w:bidi="fr_FR"/>
        </w:rPr>
        <w:t xml:space="preserve">, </w:t>
      </w:r>
      <w:r>
        <w:rPr>
          <w:lang w:val="fr_FR" w:bidi="fr_FR"/>
        </w:rPr>
        <w:t>1.24</w:t>
      </w:r>
      <w:r>
        <w:rPr>
          <w:lang w:val="fr_FR" w:bidi="fr_FR"/>
        </w:rPr>
        <w:t xml:space="preserve">). </w:t>
      </w:r>
      <w:r>
        <w:rPr>
          <w:lang w:val="fr_FR" w:bidi="fr_FR"/>
        </w:rPr>
        <w:t>Elle offre aux croyants une profonde assurance, en particulier lorsqu’ils sont confrontés à des personnes qui enseignent des doctrines erronées sur Dieu.</w:t>
      </w:r>
      <w:r>
        <w:rPr>
          <w:lang w:val="fr_FR" w:bidi="fr_FR"/>
        </w:rPr>
      </w:r>
      <w:r>
        <w:rPr>
          <w:lang w:val="fr_FR" w:bidi="fr_FR"/>
        </w:rPr>
      </w:r>
    </w:p>
    <w:p>
      <w:pPr/>
      <w:r>
        <w:rPr>
          <w:lang w:val="fr_FR" w:bidi="fr_FR"/>
        </w:rPr>
      </w:r>
    </w:p>
    <w:p>
      <w:pPr>
        <w:pStyle w:val="Heading2"/>
      </w:pPr>
      <w:r>
        <w:rPr>
          <w:lang w:val="fr_FR" w:bidi="fr_FR"/>
        </w:rPr>
        <w:t>Jude 1.3</w:t>
      </w:r>
      <w:r>
        <w:rPr>
          <w:lang w:val="fr_FR" w:bidi="fr_FR"/>
        </w:rPr>
      </w:r>
    </w:p>
    <w:p>
      <w:pPr/>
      <w:r>
        <w:rPr>
          <w:lang w:val="fr_FR" w:bidi="fr_FR"/>
        </w:rPr>
      </w:r>
      <w:r>
        <w:rPr>
          <w:lang w:val="fr_FR" w:bidi="fr_FR"/>
        </w:rPr>
        <w:t xml:space="preserve">Dans le Nouveau Testament, le terme </w:t>
      </w:r>
      <w:r>
        <w:rPr>
          <w:lang w:val="fr_FR" w:bidi="fr_FR"/>
        </w:rPr>
        <w:t>« foi »</w:t>
      </w:r>
      <w:r>
        <w:rPr>
          <w:lang w:val="fr_FR" w:bidi="fr_FR"/>
        </w:rPr>
        <w:t xml:space="preserve"> désigne le plus souvent l’action visant à croire, tandis que l’expression</w:t>
      </w:r>
      <w:r>
        <w:rPr>
          <w:lang w:val="fr_FR" w:bidi="fr_FR"/>
        </w:rPr>
        <w:t xml:space="preserve"> « la foi »</w:t>
      </w:r>
      <w:r>
        <w:rPr>
          <w:lang w:val="fr_FR" w:bidi="fr_FR"/>
        </w:rPr>
        <w:t xml:space="preserve"> désigne l’ensemble des croyances chrétiennes.</w:t>
      </w:r>
      <w:r>
        <w:rPr>
          <w:lang w:val="fr_FR" w:bidi="fr_FR"/>
        </w:rPr>
      </w:r>
      <w:r>
        <w:rPr>
          <w:lang w:val="fr_FR" w:bidi="fr_FR"/>
        </w:rPr>
      </w:r>
    </w:p>
    <w:p>
      <w:pPr/>
      <w:r>
        <w:rPr>
          <w:lang w:val="fr_FR" w:bidi="fr_FR"/>
        </w:rPr>
      </w:r>
    </w:p>
    <w:p>
      <w:pPr>
        <w:pStyle w:val="Heading2"/>
      </w:pPr>
      <w:r>
        <w:rPr>
          <w:lang w:val="fr_FR" w:bidi="fr_FR"/>
        </w:rPr>
        <w:t>Jude 1.3–4</w:t>
      </w:r>
      <w:r>
        <w:rPr>
          <w:lang w:val="fr_FR" w:bidi="fr_FR"/>
        </w:rPr>
      </w:r>
    </w:p>
    <w:p>
      <w:pPr/>
      <w:r>
        <w:rPr>
          <w:lang w:val="fr_FR" w:bidi="fr_FR"/>
        </w:rPr>
      </w:r>
      <w:r>
        <w:rPr>
          <w:lang w:val="fr_FR" w:bidi="fr_FR"/>
        </w:rPr>
        <w:t>À la place de l’action de grâce traditionnelle que l’on trouve généralement à ce stade dans les lettres du Nouveau Testament</w:t>
      </w:r>
      <w:r>
        <w:rPr>
          <w:lang w:val="fr_FR" w:bidi="fr_FR"/>
        </w:rPr>
        <w:t xml:space="preserve">, </w:t>
      </w:r>
      <w:r>
        <w:rPr>
          <w:lang w:val="fr_FR" w:bidi="fr_FR"/>
        </w:rPr>
        <w:t xml:space="preserve">Jude expose d’emblée le cœur de son message </w:t>
      </w:r>
      <w:r>
        <w:rPr>
          <w:lang w:val="fr_FR" w:bidi="fr_FR"/>
        </w:rPr>
        <w:t xml:space="preserve">(voir </w:t>
      </w:r>
      <w:r>
        <w:rPr>
          <w:lang w:val="fr_FR" w:bidi="fr_FR"/>
        </w:rPr>
        <w:t>Rm 1.8– 14</w:t>
      </w:r>
      <w:r>
        <w:rPr>
          <w:lang w:val="fr_FR" w:bidi="fr_FR"/>
        </w:rPr>
        <w:t xml:space="preserve"> ; </w:t>
      </w:r>
      <w:r>
        <w:rPr>
          <w:lang w:val="fr_FR" w:bidi="fr_FR"/>
        </w:rPr>
        <w:t>1Co 1.4 –9</w:t>
      </w:r>
      <w:r>
        <w:rPr>
          <w:lang w:val="fr_FR" w:bidi="fr_FR"/>
        </w:rPr>
        <w:t xml:space="preserve">). Les faux enseignements représentaient une menace sérieuse pour la foi des personnes à qui il écrivait (voir </w:t>
      </w:r>
      <w:r>
        <w:rPr>
          <w:lang w:val="fr_FR" w:bidi="fr_FR"/>
        </w:rPr>
        <w:t>Jd 1.22–23</w:t>
      </w:r>
      <w:r>
        <w:rPr>
          <w:lang w:val="fr_FR" w:bidi="fr_FR"/>
        </w:rPr>
        <w:t>).</w:t>
      </w:r>
      <w:r>
        <w:rPr>
          <w:lang w:val="fr_FR" w:bidi="fr_FR"/>
        </w:rPr>
      </w:r>
      <w:r>
        <w:rPr>
          <w:lang w:val="fr_FR" w:bidi="fr_FR"/>
        </w:rPr>
      </w:r>
    </w:p>
    <w:p>
      <w:pPr/>
      <w:r>
        <w:rPr>
          <w:lang w:val="fr_FR" w:bidi="fr_FR"/>
        </w:rPr>
      </w:r>
    </w:p>
    <w:p>
      <w:pPr>
        <w:pStyle w:val="Heading2"/>
      </w:pPr>
      <w:r>
        <w:rPr>
          <w:lang w:val="fr_FR" w:bidi="fr_FR"/>
        </w:rPr>
        <w:t>Jude 1.4</w:t>
      </w:r>
      <w:r>
        <w:rPr>
          <w:lang w:val="fr_FR" w:bidi="fr_FR"/>
        </w:rPr>
      </w:r>
    </w:p>
    <w:p>
      <w:pPr/>
      <w:r>
        <w:rPr>
          <w:lang w:val="fr_FR" w:bidi="fr_FR"/>
        </w:rPr>
      </w:r>
      <w:r>
        <w:rPr>
          <w:lang w:val="fr_FR" w:bidi="fr_FR"/>
        </w:rPr>
        <w:t>I</w:t>
      </w:r>
      <w:r>
        <w:rPr>
          <w:lang w:val="fr_FR" w:bidi="fr_FR"/>
        </w:rPr>
        <w:t>l peut être tentant de détourner la grâce merveilleuse de Dieu en prétendant qu’elle nous donne la liberté de faire le mal</w:t>
      </w:r>
      <w:r>
        <w:rPr>
          <w:lang w:val="fr_FR" w:bidi="fr_FR"/>
        </w:rPr>
        <w:t xml:space="preserve"> (voir </w:t>
      </w:r>
      <w:r>
        <w:rPr>
          <w:lang w:val="fr_FR" w:bidi="fr_FR"/>
        </w:rPr>
        <w:t>Rm 6</w:t>
      </w:r>
      <w:r>
        <w:rPr>
          <w:lang w:val="fr_FR" w:bidi="fr_FR"/>
        </w:rPr>
        <w:t>).</w:t>
      </w:r>
      <w:r>
        <w:rPr>
          <w:lang w:val="fr_FR" w:bidi="fr_FR"/>
        </w:rPr>
      </w:r>
      <w:r>
        <w:rPr>
          <w:lang w:val="fr_FR" w:bidi="fr_FR"/>
        </w:rPr>
      </w:r>
    </w:p>
    <w:p>
      <w:pPr/>
      <w:r>
        <w:rPr>
          <w:lang w:val="fr_FR" w:bidi="fr_FR"/>
        </w:rPr>
      </w:r>
    </w:p>
    <w:p>
      <w:pPr>
        <w:pStyle w:val="Heading2"/>
      </w:pPr>
      <w:r>
        <w:rPr>
          <w:lang w:val="fr_FR" w:bidi="fr_FR"/>
        </w:rPr>
        <w:t>Jude 1.5</w:t>
      </w:r>
      <w:r>
        <w:rPr>
          <w:lang w:val="fr_FR" w:bidi="fr_FR"/>
        </w:rPr>
      </w:r>
    </w:p>
    <w:p>
      <w:pPr>
        <w:pStyle w:val="ListBullet"/>
        <w:spacing w:line="240" w:lineRule="auto"/>
        <w:ind w:left="720"/>
      </w:pPr>
      <w:r>
        <w:rPr>
          <w:lang w:val="fr_FR" w:bidi="fr_FR"/>
        </w:rPr>
      </w:r>
      <w:r>
        <w:rPr>
          <w:lang w:val="fr_FR" w:bidi="fr_FR"/>
        </w:rPr>
        <w:t>Jésus existait avant sa naissance et il a délivré le peuple d’Israël de l’esclavage en Égypte. Par la suite, il a jugé les personnes qui lui étaient infidèles</w:t>
      </w:r>
      <w:r>
        <w:rPr>
          <w:lang w:val="fr_FR" w:bidi="fr_FR"/>
        </w:rPr>
        <w:t xml:space="preserve"> (comparez </w:t>
      </w:r>
      <w:r>
        <w:rPr>
          <w:lang w:val="fr_FR" w:bidi="fr_FR"/>
        </w:rPr>
        <w:t>1Co 10.4</w:t>
      </w:r>
      <w:r>
        <w:rPr>
          <w:lang w:val="fr_FR" w:bidi="fr_FR"/>
        </w:rPr>
        <w:t>).</w:t>
      </w:r>
    </w:p>
    <w:p>
      <w:pPr>
        <w:pStyle w:val="ListBullet"/>
        <w:spacing w:line="240" w:lineRule="auto"/>
        <w:ind w:left="720"/>
      </w:pPr>
      <w:r>
        <w:rPr>
          <w:lang w:val="fr_FR" w:bidi="fr_FR"/>
        </w:rPr>
      </w:r>
      <w:r>
        <w:rPr>
          <w:i/>
          <w:lang w:val="fr_FR" w:bidi="fr_FR"/>
        </w:rPr>
        <w:t>que le Seigneur, après avoir sauvé le peuple et l’avoir tiré du pays d’Égypte, fit ensuite périr les incrédules</w:t>
      </w:r>
      <w:r>
        <w:rPr>
          <w:i/>
          <w:lang w:val="fr_FR" w:bidi="fr_FR"/>
        </w:rPr>
        <w:t xml:space="preserve"> :</w:t>
      </w:r>
      <w:r>
        <w:rPr>
          <w:lang w:val="fr_FR" w:bidi="fr_FR"/>
        </w:rPr>
        <w:t xml:space="preserve"> La plupart des gens </w:t>
      </w:r>
      <w:r>
        <w:rPr>
          <w:lang w:val="fr_FR" w:bidi="fr_FR"/>
        </w:rPr>
        <w:t>ne faisait pas confiance à Dieu pour assurer leur protection. En raison de leur incrédulité, Dieu les fit errer dans le désert jusqu’à leur mort, à l’exception de Josué et Caleb</w:t>
      </w:r>
      <w:r>
        <w:rPr>
          <w:lang w:val="fr_FR" w:bidi="fr_FR"/>
        </w:rPr>
        <w:t xml:space="preserve"> (voir </w:t>
      </w:r>
      <w:r>
        <w:rPr>
          <w:lang w:val="fr_FR" w:bidi="fr_FR"/>
        </w:rPr>
        <w:t>Nb 14</w:t>
      </w:r>
      <w:r>
        <w:rPr>
          <w:lang w:val="fr_FR" w:bidi="fr_FR"/>
        </w:rPr>
        <w:t>).</w:t>
      </w:r>
      <w:r>
        <w:rPr>
          <w:lang w:val="fr_FR" w:bidi="fr_FR"/>
        </w:rPr>
      </w:r>
      <w:r>
        <w:rPr>
          <w:lang w:val="fr_FR" w:bidi="fr_FR"/>
        </w:rPr>
      </w:r>
    </w:p>
    <w:p>
      <w:pPr/>
      <w:r>
        <w:rPr>
          <w:lang w:val="fr_FR" w:bidi="fr_FR"/>
        </w:rPr>
      </w:r>
    </w:p>
    <w:p>
      <w:pPr>
        <w:pStyle w:val="Heading2"/>
      </w:pPr>
      <w:r>
        <w:rPr>
          <w:lang w:val="fr_FR" w:bidi="fr_FR"/>
        </w:rPr>
        <w:t>Jude 1.5–16</w:t>
      </w:r>
      <w:r>
        <w:rPr>
          <w:lang w:val="fr_FR" w:bidi="fr_FR"/>
        </w:rPr>
      </w:r>
    </w:p>
    <w:p>
      <w:pPr/>
      <w:r>
        <w:rPr>
          <w:lang w:val="fr_FR" w:bidi="fr_FR"/>
        </w:rPr>
      </w:r>
      <w:r>
        <w:rPr>
          <w:lang w:val="fr_FR" w:bidi="fr_FR"/>
        </w:rPr>
        <w:t>Cette section illustre l’expression « dont la condamnation est écrite depuis longtemps »</w:t>
      </w:r>
      <w:r>
        <w:rPr>
          <w:lang w:val="fr_FR" w:bidi="fr_FR"/>
        </w:rPr>
        <w:t xml:space="preserve"> au verset </w:t>
      </w:r>
      <w:r>
        <w:rPr>
          <w:lang w:val="fr_FR" w:bidi="fr_FR"/>
        </w:rPr>
        <w:t>1.4</w:t>
      </w:r>
      <w:r>
        <w:rPr>
          <w:lang w:val="fr_FR" w:bidi="fr_FR"/>
        </w:rPr>
        <w:t xml:space="preserve">, </w:t>
      </w:r>
      <w:r>
        <w:rPr>
          <w:lang w:val="fr_FR" w:bidi="fr_FR"/>
        </w:rPr>
        <w:t>en s’appuyant sur des exemples de l’Ancien Testament, montrant comment Dieu a exercé son jugement sur les faux enseignants.</w:t>
      </w:r>
      <w:r>
        <w:rPr>
          <w:lang w:val="fr_FR" w:bidi="fr_FR"/>
        </w:rPr>
      </w:r>
      <w:r>
        <w:rPr>
          <w:lang w:val="fr_FR" w:bidi="fr_FR"/>
        </w:rPr>
      </w:r>
    </w:p>
    <w:p>
      <w:pPr/>
      <w:r>
        <w:rPr>
          <w:lang w:val="fr_FR" w:bidi="fr_FR"/>
        </w:rPr>
      </w:r>
    </w:p>
    <w:p>
      <w:pPr>
        <w:pStyle w:val="Heading2"/>
      </w:pPr>
      <w:r>
        <w:rPr>
          <w:lang w:val="fr_FR" w:bidi="fr_FR"/>
        </w:rPr>
        <w:t>Jude 1.6</w:t>
      </w:r>
      <w:r>
        <w:rPr>
          <w:lang w:val="fr_FR" w:bidi="fr_FR"/>
        </w:rPr>
      </w:r>
    </w:p>
    <w:p>
      <w:pPr/>
      <w:r>
        <w:rPr>
          <w:lang w:val="fr_FR" w:bidi="fr_FR"/>
        </w:rPr>
      </w:r>
      <w:r>
        <w:rPr>
          <w:lang w:val="fr_FR" w:bidi="fr_FR"/>
        </w:rPr>
        <w:t xml:space="preserve">Les anges mentionnés peuvent évoquer la chute de Satan et de ceux qui l’ont suivi, bien qu’aucun passage de l’Ancien Testament ne décrive cet événement directement </w:t>
      </w:r>
      <w:r>
        <w:rPr>
          <w:lang w:val="fr_FR" w:bidi="fr_FR"/>
        </w:rPr>
        <w:t xml:space="preserve">(voir les notes d’étude sur les versets </w:t>
      </w:r>
      <w:r>
        <w:rPr>
          <w:lang w:val="fr_FR" w:bidi="fr_FR"/>
        </w:rPr>
        <w:t>Es 14.12–17</w:t>
      </w:r>
      <w:r>
        <w:rPr>
          <w:lang w:val="fr_FR" w:bidi="fr_FR"/>
        </w:rPr>
        <w:t xml:space="preserve"> ; </w:t>
      </w:r>
      <w:r>
        <w:rPr>
          <w:lang w:val="fr_FR" w:bidi="fr_FR"/>
        </w:rPr>
        <w:t>Ez 28.12–19</w:t>
      </w:r>
      <w:r>
        <w:rPr>
          <w:lang w:val="fr_FR" w:bidi="fr_FR"/>
        </w:rPr>
        <w:t xml:space="preserve">). Jude évoquait probablement les versets </w:t>
      </w:r>
      <w:r>
        <w:rPr>
          <w:lang w:val="fr_FR" w:bidi="fr_FR"/>
        </w:rPr>
        <w:t>Gn 6.1–4</w:t>
      </w:r>
      <w:r>
        <w:rPr>
          <w:lang w:val="fr_FR" w:bidi="fr_FR"/>
        </w:rPr>
        <w:t xml:space="preserve">. </w:t>
      </w:r>
      <w:r>
        <w:rPr>
          <w:lang w:val="fr_FR" w:bidi="fr_FR"/>
        </w:rPr>
        <w:t>Selon la tradition juive, les « fils de Dieu » mentionnés dans ce passage étaient des anges déchus, punis par Dieu pour avoir eu des relations avec des femmes humaines</w:t>
      </w:r>
      <w:r>
        <w:rPr>
          <w:lang w:val="fr_FR" w:bidi="fr_FR"/>
        </w:rPr>
        <w:t xml:space="preserve"> (voir </w:t>
      </w:r>
      <w:r>
        <w:rPr>
          <w:i/>
          <w:lang w:val="fr_FR" w:bidi="fr_FR"/>
        </w:rPr>
        <w:t>1 Hénoc</w:t>
      </w:r>
      <w:r>
        <w:rPr>
          <w:lang w:val="fr_FR" w:bidi="fr_FR"/>
        </w:rPr>
        <w:t xml:space="preserve"> 6–10 ; voir aussi les notes d’étude sur </w:t>
      </w:r>
      <w:r>
        <w:rPr>
          <w:lang w:val="fr_FR" w:bidi="fr_FR"/>
        </w:rPr>
        <w:t>1P 3.19–20</w:t>
      </w:r>
      <w:r>
        <w:rPr>
          <w:lang w:val="fr_FR" w:bidi="fr_FR"/>
        </w:rPr>
        <w:t xml:space="preserve"> ; </w:t>
      </w:r>
      <w:r>
        <w:rPr>
          <w:lang w:val="fr_FR" w:bidi="fr_FR"/>
        </w:rPr>
        <w:t>2P 2.4</w:t>
      </w:r>
      <w:r>
        <w:rPr>
          <w:lang w:val="fr_FR" w:bidi="fr_FR"/>
        </w:rPr>
        <w:t xml:space="preserve">). </w:t>
      </w:r>
      <w:r>
        <w:rPr>
          <w:lang w:val="fr_FR" w:bidi="fr_FR"/>
        </w:rPr>
        <w:t xml:space="preserve">D’ailleurs, Jude cite explicitement le livre 1 Hénoc aux </w:t>
      </w:r>
      <w:r>
        <w:rPr>
          <w:lang w:val="fr_FR" w:bidi="fr_FR"/>
        </w:rPr>
        <w:t>versets 14–15.</w:t>
      </w:r>
      <w:r>
        <w:rPr>
          <w:lang w:val="fr_FR" w:bidi="fr_FR"/>
        </w:rPr>
      </w:r>
      <w:r>
        <w:rPr>
          <w:lang w:val="fr_FR" w:bidi="fr_FR"/>
        </w:rPr>
      </w:r>
    </w:p>
    <w:p>
      <w:pPr/>
      <w:r>
        <w:rPr>
          <w:lang w:val="fr_FR" w:bidi="fr_FR"/>
        </w:rPr>
      </w:r>
    </w:p>
    <w:p>
      <w:pPr>
        <w:pStyle w:val="Heading2"/>
      </w:pPr>
      <w:r>
        <w:rPr>
          <w:lang w:val="fr_FR" w:bidi="fr_FR"/>
        </w:rPr>
        <w:t>Jude 1.7</w:t>
      </w:r>
      <w:r>
        <w:rPr>
          <w:lang w:val="fr_FR" w:bidi="fr_FR"/>
        </w:rPr>
      </w:r>
    </w:p>
    <w:p>
      <w:pPr>
        <w:pStyle w:val="ListBullet"/>
        <w:spacing w:line="240" w:lineRule="auto"/>
        <w:ind w:left="720"/>
      </w:pPr>
      <w:r>
        <w:rPr>
          <w:lang w:val="fr_FR" w:bidi="fr_FR"/>
        </w:rPr>
      </w:r>
      <w:r>
        <w:rPr>
          <w:lang w:val="fr_FR" w:bidi="fr_FR"/>
        </w:rPr>
        <w:t xml:space="preserve">Le jugement de Dieu sur Sodome et Gomorrhe est devenu un évènement bien connu (voir </w:t>
      </w:r>
      <w:r>
        <w:rPr>
          <w:lang w:val="fr_FR" w:bidi="fr_FR"/>
        </w:rPr>
        <w:t>Gn 18.17–19.26</w:t>
      </w:r>
      <w:r>
        <w:rPr>
          <w:lang w:val="fr_FR" w:bidi="fr_FR"/>
        </w:rPr>
        <w:t xml:space="preserve"> ; </w:t>
      </w:r>
      <w:r>
        <w:rPr>
          <w:lang w:val="fr_FR" w:bidi="fr_FR"/>
        </w:rPr>
        <w:t>Lc 17.26–29</w:t>
      </w:r>
      <w:r>
        <w:rPr>
          <w:lang w:val="fr_FR" w:bidi="fr_FR"/>
        </w:rPr>
        <w:t>).</w:t>
      </w:r>
    </w:p>
    <w:p>
      <w:pPr>
        <w:pStyle w:val="ListBullet"/>
        <w:spacing w:line="240" w:lineRule="auto"/>
        <w:ind w:left="720"/>
      </w:pPr>
      <w:r>
        <w:rPr>
          <w:lang w:val="fr_FR" w:bidi="fr_FR"/>
        </w:rPr>
      </w:r>
      <w:r>
        <w:rPr>
          <w:i/>
          <w:lang w:val="fr_FR" w:bidi="fr_FR"/>
        </w:rPr>
        <w:t>les villes voisines</w:t>
      </w:r>
      <w:r>
        <w:rPr>
          <w:lang w:val="fr_FR" w:bidi="fr_FR"/>
        </w:rPr>
        <w:t xml:space="preserve"> : </w:t>
      </w:r>
      <w:r>
        <w:rPr>
          <w:lang w:val="fr_FR" w:bidi="fr_FR"/>
        </w:rPr>
        <w:t>Dt 29.23</w:t>
      </w:r>
      <w:r>
        <w:rPr>
          <w:lang w:val="fr_FR" w:bidi="fr_FR"/>
        </w:rPr>
        <w:t xml:space="preserve"> mentionne Adma et Tseboïm.</w:t>
      </w:r>
    </w:p>
    <w:p>
      <w:pPr>
        <w:pStyle w:val="ListBullet"/>
        <w:spacing w:line="240" w:lineRule="auto"/>
        <w:ind w:left="720"/>
      </w:pPr>
      <w:r>
        <w:rPr>
          <w:lang w:val="fr_FR" w:bidi="fr_FR"/>
        </w:rPr>
      </w:r>
      <w:r>
        <w:rPr>
          <w:i/>
          <w:lang w:val="fr_FR" w:bidi="fr_FR"/>
        </w:rPr>
        <w:t>à l’impudicité et à des vices contre natur</w:t>
      </w:r>
      <w:r>
        <w:rPr>
          <w:i/>
          <w:lang w:val="fr_FR" w:bidi="fr_FR"/>
        </w:rPr>
        <w:t>e</w:t>
      </w:r>
      <w:r>
        <w:rPr>
          <w:lang w:val="fr_FR" w:bidi="fr_FR"/>
        </w:rPr>
        <w:t xml:space="preserve"> : cette proposition désigne probablement les relations sexuelles entre personnes du même sexe (</w:t>
      </w:r>
      <w:r>
        <w:rPr>
          <w:lang w:val="fr_FR" w:bidi="fr_FR"/>
        </w:rPr>
        <w:t>Gn 19.5–10</w:t>
      </w:r>
      <w:r>
        <w:rPr>
          <w:lang w:val="fr_FR" w:bidi="fr_FR"/>
        </w:rPr>
        <w:t>).</w:t>
      </w:r>
      <w:r>
        <w:rPr>
          <w:lang w:val="fr_FR" w:bidi="fr_FR"/>
        </w:rPr>
      </w:r>
      <w:r>
        <w:rPr>
          <w:lang w:val="fr_FR" w:bidi="fr_FR"/>
        </w:rPr>
      </w:r>
    </w:p>
    <w:p>
      <w:pPr/>
      <w:r>
        <w:rPr>
          <w:lang w:val="fr_FR" w:bidi="fr_FR"/>
        </w:rPr>
      </w:r>
    </w:p>
    <w:p>
      <w:pPr>
        <w:pStyle w:val="Heading2"/>
      </w:pPr>
      <w:r>
        <w:rPr>
          <w:lang w:val="fr_FR" w:bidi="fr_FR"/>
        </w:rPr>
        <w:t>Jude 1.8</w:t>
      </w:r>
      <w:r>
        <w:rPr>
          <w:lang w:val="fr_FR" w:bidi="fr_FR"/>
        </w:rPr>
      </w:r>
    </w:p>
    <w:p>
      <w:pPr/>
      <w:r>
        <w:rPr>
          <w:lang w:val="fr_FR" w:bidi="fr_FR"/>
        </w:rPr>
      </w:r>
      <w:r>
        <w:rPr>
          <w:i/>
          <w:lang w:val="fr_FR" w:bidi="fr_FR"/>
        </w:rPr>
        <w:t>les gloires</w:t>
      </w:r>
      <w:r>
        <w:rPr>
          <w:lang w:val="fr_FR" w:bidi="fr_FR"/>
        </w:rPr>
        <w:t xml:space="preserve"> </w:t>
      </w:r>
      <w:r>
        <w:rPr>
          <w:lang w:val="fr_FR" w:bidi="fr_FR"/>
        </w:rPr>
        <w:t xml:space="preserve">: Cette expression désigne probablement les anges déchus. </w:t>
      </w:r>
      <w:r>
        <w:rPr>
          <w:lang w:val="fr_FR" w:bidi="fr_FR"/>
        </w:rPr>
        <w:t>Dans l’Ancien Testament comme dans la tradition juive, les anges occupaient un rôle important dans l’exécution du jugement divin. Les faux enseignants évoqués ici auraient pu soit minimiser la réalité d’un jugement à venir</w:t>
      </w:r>
      <w:r>
        <w:rPr>
          <w:lang w:val="fr_FR" w:bidi="fr_FR"/>
        </w:rPr>
        <w:t xml:space="preserve"> (voir </w:t>
      </w:r>
      <w:r>
        <w:rPr>
          <w:lang w:val="fr_FR" w:bidi="fr_FR"/>
        </w:rPr>
        <w:t>1.18</w:t>
      </w:r>
      <w:r>
        <w:rPr>
          <w:lang w:val="fr_FR" w:bidi="fr_FR"/>
        </w:rPr>
        <w:t xml:space="preserve"> ; </w:t>
      </w:r>
      <w:r>
        <w:rPr>
          <w:lang w:val="fr_FR" w:bidi="fr_FR"/>
        </w:rPr>
        <w:t>2P 3.3–4</w:t>
      </w:r>
      <w:r>
        <w:rPr>
          <w:lang w:val="fr_FR" w:bidi="fr_FR"/>
        </w:rPr>
        <w:t xml:space="preserve">), </w:t>
      </w:r>
      <w:r>
        <w:rPr>
          <w:lang w:val="fr_FR" w:bidi="fr_FR"/>
        </w:rPr>
        <w:t>soit nier l’origine céleste et glorieuse de ces anges qui se sont rebellés contre Dieu</w:t>
      </w:r>
      <w:r>
        <w:rPr>
          <w:lang w:val="fr_FR" w:bidi="fr_FR"/>
        </w:rPr>
        <w:t xml:space="preserve"> (comparer avec </w:t>
      </w:r>
      <w:r>
        <w:rPr>
          <w:lang w:val="fr_FR" w:bidi="fr_FR"/>
        </w:rPr>
        <w:t>2P 2.10</w:t>
      </w:r>
      <w:r>
        <w:rPr>
          <w:lang w:val="fr_FR" w:bidi="fr_FR"/>
        </w:rPr>
        <w:t>).</w:t>
      </w:r>
      <w:r>
        <w:rPr>
          <w:lang w:val="fr_FR" w:bidi="fr_FR"/>
        </w:rPr>
      </w:r>
      <w:r>
        <w:rPr>
          <w:lang w:val="fr_FR" w:bidi="fr_FR"/>
        </w:rPr>
      </w:r>
    </w:p>
    <w:p>
      <w:pPr/>
      <w:r>
        <w:rPr>
          <w:lang w:val="fr_FR" w:bidi="fr_FR"/>
        </w:rPr>
      </w:r>
    </w:p>
    <w:p>
      <w:pPr>
        <w:pStyle w:val="Heading2"/>
      </w:pPr>
      <w:r>
        <w:rPr>
          <w:lang w:val="fr_FR" w:bidi="fr_FR"/>
        </w:rPr>
        <w:t>Jude 1.9</w:t>
      </w:r>
      <w:r>
        <w:rPr>
          <w:lang w:val="fr_FR" w:bidi="fr_FR"/>
        </w:rPr>
      </w:r>
    </w:p>
    <w:p>
      <w:pPr/>
      <w:r>
        <w:rPr>
          <w:lang w:val="fr_FR" w:bidi="fr_FR"/>
        </w:rPr>
      </w:r>
      <w:r>
        <w:rPr>
          <w:lang w:val="fr_FR" w:bidi="fr_FR"/>
        </w:rPr>
        <w:t xml:space="preserve">Michel </w:t>
      </w:r>
      <w:r>
        <w:rPr>
          <w:lang w:val="fr_FR" w:bidi="fr_FR"/>
        </w:rPr>
        <w:t>est l’un des anges les plus puissants. Dans la tradition juive, le terme « archange » désigne le rang le plus élevé parmi les anges</w:t>
      </w:r>
      <w:r>
        <w:rPr>
          <w:lang w:val="fr_FR" w:bidi="fr_FR"/>
        </w:rPr>
        <w:t xml:space="preserve"> (voir aussi </w:t>
      </w:r>
      <w:r>
        <w:rPr>
          <w:lang w:val="fr_FR" w:bidi="fr_FR"/>
        </w:rPr>
        <w:t>1Th 4.16</w:t>
      </w:r>
      <w:r>
        <w:rPr>
          <w:lang w:val="fr_FR" w:bidi="fr_FR"/>
        </w:rPr>
        <w:t xml:space="preserve">). Michel </w:t>
      </w:r>
      <w:r>
        <w:rPr>
          <w:lang w:val="fr_FR" w:bidi="fr_FR"/>
        </w:rPr>
        <w:t>est mentionné à plusieurs reprises dans la Bible</w:t>
      </w:r>
      <w:r>
        <w:rPr>
          <w:lang w:val="fr_FR" w:bidi="fr_FR"/>
        </w:rPr>
        <w:t xml:space="preserve"> (</w:t>
      </w:r>
      <w:r>
        <w:rPr>
          <w:lang w:val="fr_FR" w:bidi="fr_FR"/>
        </w:rPr>
        <w:t>Dn 10.13</w:t>
      </w:r>
      <w:r>
        <w:rPr>
          <w:lang w:val="fr_FR" w:bidi="fr_FR"/>
        </w:rPr>
        <w:t xml:space="preserve">, </w:t>
      </w:r>
      <w:r>
        <w:rPr>
          <w:lang w:val="fr_FR" w:bidi="fr_FR"/>
        </w:rPr>
        <w:t xml:space="preserve">21 </w:t>
      </w:r>
      <w:r>
        <w:rPr>
          <w:lang w:val="fr_FR" w:bidi="fr_FR"/>
        </w:rPr>
        <w:t xml:space="preserve">; </w:t>
      </w:r>
      <w:r>
        <w:rPr>
          <w:lang w:val="fr_FR" w:bidi="fr_FR"/>
        </w:rPr>
        <w:t xml:space="preserve">12.1 </w:t>
      </w:r>
      <w:r>
        <w:rPr>
          <w:lang w:val="fr_FR" w:bidi="fr_FR"/>
        </w:rPr>
        <w:t xml:space="preserve">; </w:t>
      </w:r>
      <w:r>
        <w:rPr>
          <w:lang w:val="fr_FR" w:bidi="fr_FR"/>
        </w:rPr>
        <w:t>Ap 12.7</w:t>
      </w:r>
      <w:r>
        <w:rPr>
          <w:lang w:val="fr_FR" w:bidi="fr_FR"/>
        </w:rPr>
        <w:t xml:space="preserve">). </w:t>
      </w:r>
      <w:r>
        <w:rPr>
          <w:lang w:val="fr_FR" w:bidi="fr_FR"/>
        </w:rPr>
        <w:t>Le récit de son affrontement avec le diable au sujet du corps de Moïse ne figure pas dans l’Ancien Testament, mais provient de la tradition juive</w:t>
      </w:r>
      <w:r>
        <w:rPr>
          <w:lang w:val="fr_FR" w:bidi="fr_FR"/>
        </w:rPr>
        <w:t xml:space="preserve"> (voir </w:t>
      </w:r>
      <w:r>
        <w:rPr>
          <w:i/>
          <w:lang w:val="fr_FR" w:bidi="fr_FR"/>
        </w:rPr>
        <w:t>Assomption de Moïse</w:t>
      </w:r>
      <w:r>
        <w:rPr>
          <w:lang w:val="fr_FR" w:bidi="fr_FR"/>
        </w:rPr>
        <w:t>).</w:t>
      </w:r>
      <w:r>
        <w:rPr>
          <w:lang w:val="fr_FR" w:bidi="fr_FR"/>
        </w:rPr>
      </w:r>
      <w:r>
        <w:rPr>
          <w:lang w:val="fr_FR" w:bidi="fr_FR"/>
        </w:rPr>
      </w:r>
    </w:p>
    <w:p>
      <w:pPr/>
      <w:r>
        <w:rPr>
          <w:lang w:val="fr_FR" w:bidi="fr_FR"/>
        </w:rPr>
      </w:r>
    </w:p>
    <w:p>
      <w:pPr>
        <w:pStyle w:val="Heading2"/>
      </w:pPr>
      <w:r>
        <w:rPr>
          <w:lang w:val="fr_FR" w:bidi="fr_FR"/>
        </w:rPr>
        <w:t>Jude 1.11</w:t>
      </w:r>
      <w:r>
        <w:rPr>
          <w:lang w:val="fr_FR" w:bidi="fr_FR"/>
        </w:rPr>
      </w:r>
    </w:p>
    <w:p>
      <w:pPr>
        <w:pStyle w:val="ListBullet"/>
        <w:spacing w:line="240" w:lineRule="auto"/>
        <w:ind w:left="720"/>
      </w:pPr>
      <w:r>
        <w:rPr>
          <w:lang w:val="fr_FR" w:bidi="fr_FR"/>
        </w:rPr>
      </w:r>
      <w:r>
        <w:rPr>
          <w:i/>
          <w:lang w:val="fr_FR" w:bidi="fr_FR"/>
        </w:rPr>
        <w:t>Caïn</w:t>
      </w:r>
      <w:r>
        <w:rPr>
          <w:lang w:val="fr_FR" w:bidi="fr_FR"/>
        </w:rPr>
        <w:t xml:space="preserve"> : Voir </w:t>
      </w:r>
      <w:r>
        <w:rPr>
          <w:lang w:val="fr_FR" w:bidi="fr_FR"/>
        </w:rPr>
        <w:t>Gn 4.1–16</w:t>
      </w:r>
      <w:r>
        <w:rPr>
          <w:lang w:val="fr_FR" w:bidi="fr_FR"/>
        </w:rPr>
        <w:t>.</w:t>
      </w:r>
    </w:p>
    <w:p>
      <w:pPr>
        <w:pStyle w:val="ListBullet"/>
        <w:spacing w:line="240" w:lineRule="auto"/>
        <w:ind w:left="720"/>
      </w:pPr>
      <w:r>
        <w:rPr>
          <w:lang w:val="fr_FR" w:bidi="fr_FR"/>
        </w:rPr>
      </w:r>
      <w:r>
        <w:rPr>
          <w:i/>
          <w:lang w:val="fr_FR" w:bidi="fr_FR"/>
        </w:rPr>
        <w:t>Balaam</w:t>
      </w:r>
      <w:r>
        <w:rPr>
          <w:lang w:val="fr_FR" w:bidi="fr_FR"/>
        </w:rPr>
        <w:t xml:space="preserve"> : Voir </w:t>
      </w:r>
      <w:r>
        <w:rPr>
          <w:lang w:val="fr_FR" w:bidi="fr_FR"/>
        </w:rPr>
        <w:t>la note d’étude du verset 2P 2.15</w:t>
      </w:r>
      <w:r>
        <w:rPr>
          <w:lang w:val="fr_FR" w:bidi="fr_FR"/>
        </w:rPr>
        <w:t>.</w:t>
      </w:r>
    </w:p>
    <w:p>
      <w:pPr>
        <w:pStyle w:val="ListBullet"/>
        <w:spacing w:line="240" w:lineRule="auto"/>
        <w:ind w:left="720"/>
      </w:pPr>
      <w:r>
        <w:rPr>
          <w:lang w:val="fr_FR" w:bidi="fr_FR"/>
        </w:rPr>
      </w:r>
      <w:r>
        <w:rPr>
          <w:i/>
          <w:lang w:val="fr_FR" w:bidi="fr_FR"/>
        </w:rPr>
        <w:t>Coré</w:t>
      </w:r>
      <w:r>
        <w:rPr>
          <w:lang w:val="fr_FR" w:bidi="fr_FR"/>
        </w:rPr>
        <w:t xml:space="preserve"> : Référence aux versets </w:t>
      </w:r>
      <w:r>
        <w:rPr>
          <w:lang w:val="fr_FR" w:bidi="fr_FR"/>
        </w:rPr>
        <w:t>Nb 16.1–35</w:t>
      </w:r>
      <w:r>
        <w:rPr>
          <w:lang w:val="fr_FR" w:bidi="fr_FR"/>
        </w:rPr>
        <w:t>.</w:t>
      </w:r>
      <w:r>
        <w:rPr>
          <w:lang w:val="fr_FR" w:bidi="fr_FR"/>
        </w:rPr>
      </w:r>
      <w:r>
        <w:rPr>
          <w:lang w:val="fr_FR" w:bidi="fr_FR"/>
        </w:rPr>
      </w:r>
    </w:p>
    <w:p>
      <w:pPr/>
      <w:r>
        <w:rPr>
          <w:lang w:val="fr_FR" w:bidi="fr_FR"/>
        </w:rPr>
      </w:r>
    </w:p>
    <w:p>
      <w:pPr>
        <w:pStyle w:val="Heading2"/>
      </w:pPr>
      <w:r>
        <w:rPr>
          <w:lang w:val="fr_FR" w:bidi="fr_FR"/>
        </w:rPr>
        <w:t>Jude 1.12</w:t>
      </w:r>
      <w:r>
        <w:rPr>
          <w:lang w:val="fr_FR" w:bidi="fr_FR"/>
        </w:rPr>
      </w:r>
    </w:p>
    <w:p>
      <w:pPr/>
      <w:r>
        <w:rPr>
          <w:lang w:val="fr_FR" w:bidi="fr_FR"/>
        </w:rPr>
      </w:r>
      <w:r>
        <w:rPr>
          <w:lang w:val="fr_FR" w:bidi="fr_FR"/>
        </w:rPr>
        <w:t>Les premiers chrétiens prenaient part à la Cène du Seigneur dans le cadre de repas communautaires qu’ils partageaient fraternellement les uns avec les autres.</w:t>
      </w:r>
      <w:r>
        <w:rPr>
          <w:lang w:val="fr_FR" w:bidi="fr_FR"/>
        </w:rPr>
      </w:r>
      <w:r>
        <w:rPr>
          <w:lang w:val="fr_FR" w:bidi="fr_FR"/>
        </w:rPr>
      </w:r>
    </w:p>
    <w:p>
      <w:pPr/>
      <w:r>
        <w:rPr>
          <w:lang w:val="fr_FR" w:bidi="fr_FR"/>
        </w:rPr>
      </w:r>
    </w:p>
    <w:p>
      <w:pPr>
        <w:pStyle w:val="Heading2"/>
      </w:pPr>
      <w:r>
        <w:rPr>
          <w:lang w:val="fr_FR" w:bidi="fr_FR"/>
        </w:rPr>
        <w:t>Jude 1.13</w:t>
      </w:r>
      <w:r>
        <w:rPr>
          <w:lang w:val="fr_FR" w:bidi="fr_FR"/>
        </w:rPr>
      </w:r>
    </w:p>
    <w:p>
      <w:pPr/>
      <w:r>
        <w:rPr>
          <w:lang w:val="fr_FR" w:bidi="fr_FR"/>
        </w:rPr>
      </w:r>
      <w:r>
        <w:rPr>
          <w:lang w:val="fr_FR" w:bidi="fr_FR"/>
        </w:rPr>
        <w:t>Autrefois, on considérait les planètes comme des « étoiles errantes », en raison de leur trajectoire irrégulière dans le ciel. De la même manière, les faux enseignants s’égaraient en répandant des doctrines mensongères, et Dieu a condamné leur conduite.</w:t>
      </w:r>
      <w:r>
        <w:rPr>
          <w:lang w:val="fr_FR" w:bidi="fr_FR"/>
        </w:rPr>
      </w:r>
      <w:r>
        <w:rPr>
          <w:lang w:val="fr_FR" w:bidi="fr_FR"/>
        </w:rPr>
      </w:r>
    </w:p>
    <w:p>
      <w:pPr/>
      <w:r>
        <w:rPr>
          <w:lang w:val="fr_FR" w:bidi="fr_FR"/>
        </w:rPr>
      </w:r>
    </w:p>
    <w:p>
      <w:pPr>
        <w:pStyle w:val="Heading2"/>
      </w:pPr>
      <w:r>
        <w:rPr>
          <w:lang w:val="fr_FR" w:bidi="fr_FR"/>
        </w:rPr>
        <w:t>Jude 1.14–15</w:t>
      </w:r>
      <w:r>
        <w:rPr>
          <w:lang w:val="fr_FR" w:bidi="fr_FR"/>
        </w:rPr>
      </w:r>
    </w:p>
    <w:p>
      <w:pPr/>
      <w:r>
        <w:rPr>
          <w:lang w:val="fr_FR" w:bidi="fr_FR"/>
        </w:rPr>
      </w:r>
      <w:r>
        <w:rPr>
          <w:lang w:val="fr_FR" w:bidi="fr_FR"/>
        </w:rPr>
        <w:t>Énoch était un lointain descendant d’Adam</w:t>
      </w:r>
      <w:r>
        <w:rPr>
          <w:lang w:val="fr_FR" w:bidi="fr_FR"/>
        </w:rPr>
        <w:t xml:space="preserve"> (voir </w:t>
      </w:r>
      <w:r>
        <w:rPr>
          <w:lang w:val="fr_FR" w:bidi="fr_FR"/>
        </w:rPr>
        <w:t xml:space="preserve">Gn 5.18–24 </w:t>
      </w:r>
      <w:r>
        <w:rPr>
          <w:lang w:val="fr_FR" w:bidi="fr_FR"/>
        </w:rPr>
        <w:t xml:space="preserve">; </w:t>
      </w:r>
      <w:r>
        <w:rPr>
          <w:lang w:val="fr_FR" w:bidi="fr_FR"/>
        </w:rPr>
        <w:t>1 Ch 1.3</w:t>
      </w:r>
      <w:r>
        <w:rPr>
          <w:lang w:val="fr_FR" w:bidi="fr_FR"/>
        </w:rPr>
        <w:t xml:space="preserve">). Le verset </w:t>
      </w:r>
      <w:r>
        <w:rPr>
          <w:lang w:val="fr_FR" w:bidi="fr_FR"/>
        </w:rPr>
        <w:t>Gn 5.24</w:t>
      </w:r>
      <w:r>
        <w:rPr>
          <w:lang w:val="fr_FR" w:bidi="fr_FR"/>
        </w:rPr>
        <w:t xml:space="preserve"> suggère qu’il n’est pas mort, mais qu’il a été enlevé directement au ciel (comparer avec </w:t>
      </w:r>
      <w:r>
        <w:rPr>
          <w:lang w:val="fr_FR" w:bidi="fr_FR"/>
        </w:rPr>
        <w:t>2R 2.1–13</w:t>
      </w:r>
      <w:r>
        <w:rPr>
          <w:lang w:val="fr_FR" w:bidi="fr_FR"/>
        </w:rPr>
        <w:t xml:space="preserve"> ; voir </w:t>
      </w:r>
      <w:r>
        <w:rPr>
          <w:lang w:val="fr_FR" w:bidi="fr_FR"/>
        </w:rPr>
        <w:t>Hé 11.5</w:t>
      </w:r>
      <w:r>
        <w:rPr>
          <w:lang w:val="fr_FR" w:bidi="fr_FR"/>
        </w:rPr>
        <w:t xml:space="preserve">). </w:t>
      </w:r>
      <w:r>
        <w:rPr>
          <w:lang w:val="fr_FR" w:bidi="fr_FR"/>
        </w:rPr>
        <w:t>Cette faveur particulière de Dieu, combinée aux rares mentions de son nom dans les Écritures, fait de lui une figure fascinante. La littérature juive ancienne rapporte plusieurs traditions à son sujet, et au moins deux écrits apocalyptiques, rédigés entre l’Ancien et le Nouveau Testament, lui sont attribués</w:t>
      </w:r>
      <w:r>
        <w:rPr>
          <w:lang w:val="fr_FR" w:bidi="fr_FR"/>
        </w:rPr>
        <w:t xml:space="preserve"> (</w:t>
      </w:r>
      <w:r>
        <w:rPr>
          <w:i/>
          <w:lang w:val="fr_FR" w:bidi="fr_FR"/>
        </w:rPr>
        <w:t xml:space="preserve">1–2 </w:t>
      </w:r>
      <w:r>
        <w:rPr>
          <w:i/>
          <w:lang w:val="fr_FR" w:bidi="fr_FR"/>
        </w:rPr>
        <w:t>Énoch</w:t>
      </w:r>
      <w:r>
        <w:rPr>
          <w:lang w:val="fr_FR" w:bidi="fr_FR"/>
        </w:rPr>
        <w:t>).</w:t>
      </w:r>
      <w:r>
        <w:rPr>
          <w:lang w:val="fr_FR" w:bidi="fr_FR"/>
        </w:rPr>
      </w:r>
      <w:r>
        <w:rPr>
          <w:lang w:val="fr_FR" w:bidi="fr_FR"/>
        </w:rPr>
      </w:r>
    </w:p>
    <w:p>
      <w:pPr/>
      <w:r>
        <w:rPr>
          <w:lang w:val="fr_FR" w:bidi="fr_FR"/>
        </w:rPr>
      </w:r>
    </w:p>
    <w:p>
      <w:pPr>
        <w:pStyle w:val="Heading2"/>
      </w:pPr>
      <w:r>
        <w:rPr>
          <w:lang w:val="fr_FR" w:bidi="fr_FR"/>
        </w:rPr>
        <w:t>Jude 1.17</w:t>
      </w:r>
      <w:r>
        <w:rPr>
          <w:lang w:val="fr_FR" w:bidi="fr_FR"/>
        </w:rPr>
      </w:r>
    </w:p>
    <w:p>
      <w:pPr/>
      <w:r>
        <w:rPr>
          <w:lang w:val="fr_FR" w:bidi="fr_FR"/>
        </w:rPr>
      </w:r>
      <w:r>
        <w:rPr>
          <w:i/>
          <w:lang w:val="fr_FR" w:bidi="fr_FR"/>
        </w:rPr>
        <w:t>des choses annoncées d’avance par les apôtres de notre Seigneur Jésus-Christ</w:t>
      </w:r>
      <w:r>
        <w:rPr>
          <w:lang w:val="fr_FR" w:bidi="fr_FR"/>
        </w:rPr>
        <w:t xml:space="preserve"> </w:t>
      </w:r>
      <w:r>
        <w:rPr>
          <w:lang w:val="fr_FR" w:bidi="fr_FR"/>
        </w:rPr>
        <w:t xml:space="preserve">: Voir </w:t>
      </w:r>
      <w:r>
        <w:rPr>
          <w:lang w:val="fr_FR" w:bidi="fr_FR"/>
        </w:rPr>
        <w:t>Ac 20.29–30 ;</w:t>
      </w:r>
      <w:r>
        <w:rPr>
          <w:lang w:val="fr_FR" w:bidi="fr_FR"/>
        </w:rPr>
        <w:t xml:space="preserve"> </w:t>
      </w:r>
      <w:r>
        <w:rPr>
          <w:lang w:val="fr_FR" w:bidi="fr_FR"/>
        </w:rPr>
        <w:t>1Tm 4.1–3</w:t>
      </w:r>
      <w:r>
        <w:rPr>
          <w:lang w:val="fr_FR" w:bidi="fr_FR"/>
        </w:rPr>
        <w:t xml:space="preserve">, et </w:t>
      </w:r>
      <w:r>
        <w:rPr>
          <w:lang w:val="fr_FR" w:bidi="fr_FR"/>
        </w:rPr>
        <w:t>2 Tm 3.1–5</w:t>
      </w:r>
      <w:r>
        <w:rPr>
          <w:lang w:val="fr_FR" w:bidi="fr_FR"/>
        </w:rPr>
        <w:t>.</w:t>
      </w:r>
      <w:r>
        <w:rPr>
          <w:lang w:val="fr_FR" w:bidi="fr_FR"/>
        </w:rPr>
      </w:r>
      <w:r>
        <w:rPr>
          <w:lang w:val="fr_FR" w:bidi="fr_FR"/>
        </w:rPr>
      </w:r>
    </w:p>
    <w:p>
      <w:pPr/>
      <w:r>
        <w:rPr>
          <w:lang w:val="fr_FR" w:bidi="fr_FR"/>
        </w:rPr>
      </w:r>
    </w:p>
    <w:p>
      <w:pPr>
        <w:pStyle w:val="Heading2"/>
      </w:pPr>
      <w:r>
        <w:rPr>
          <w:lang w:val="fr_FR" w:bidi="fr_FR"/>
        </w:rPr>
        <w:t>Jude 1.17–23</w:t>
      </w:r>
      <w:r>
        <w:rPr>
          <w:lang w:val="fr_FR" w:bidi="fr_FR"/>
        </w:rPr>
      </w:r>
    </w:p>
    <w:p>
      <w:pPr/>
      <w:r>
        <w:rPr>
          <w:lang w:val="fr_FR" w:bidi="fr_FR"/>
        </w:rPr>
      </w:r>
      <w:r>
        <w:rPr>
          <w:lang w:val="fr_FR" w:bidi="fr_FR"/>
        </w:rPr>
        <w:t xml:space="preserve">Après avoir dénoncé les faux enseignants, Jude s’adresse de nouveau directement à ses lecteurs pour les encourager </w:t>
      </w:r>
      <w:r>
        <w:rPr>
          <w:lang w:val="fr_FR" w:bidi="fr_FR"/>
        </w:rPr>
        <w:t xml:space="preserve">(voir </w:t>
      </w:r>
      <w:r>
        <w:rPr>
          <w:lang w:val="fr_FR" w:bidi="fr_FR"/>
        </w:rPr>
        <w:t>1.3–4</w:t>
      </w:r>
      <w:r>
        <w:rPr>
          <w:lang w:val="fr_FR" w:bidi="fr_FR"/>
        </w:rPr>
        <w:t xml:space="preserve">). </w:t>
      </w:r>
      <w:r>
        <w:rPr>
          <w:lang w:val="fr_FR" w:bidi="fr_FR"/>
        </w:rPr>
        <w:t>Il leur rappelle que les apôtres avaient déjà mis en garde contre l’apparition de telles doctrines trompeuses</w:t>
      </w:r>
      <w:r>
        <w:rPr>
          <w:lang w:val="fr_FR" w:bidi="fr_FR"/>
        </w:rPr>
        <w:t xml:space="preserve"> (</w:t>
      </w:r>
      <w:r>
        <w:rPr>
          <w:lang w:val="fr_FR" w:bidi="fr_FR"/>
        </w:rPr>
        <w:t>1.17–19</w:t>
      </w:r>
      <w:r>
        <w:rPr>
          <w:lang w:val="fr_FR" w:bidi="fr_FR"/>
        </w:rPr>
        <w:t xml:space="preserve">). </w:t>
      </w:r>
      <w:r>
        <w:rPr>
          <w:lang w:val="fr_FR" w:bidi="fr_FR"/>
        </w:rPr>
        <w:t>Face à cela, ils sont appelés à s’édifier mutuellement dans la foi</w:t>
      </w:r>
      <w:r>
        <w:rPr>
          <w:lang w:val="fr_FR" w:bidi="fr_FR"/>
        </w:rPr>
        <w:t xml:space="preserve"> (</w:t>
      </w:r>
      <w:r>
        <w:rPr>
          <w:lang w:val="fr_FR" w:bidi="fr_FR"/>
        </w:rPr>
        <w:t>1.20–21</w:t>
      </w:r>
      <w:r>
        <w:rPr>
          <w:lang w:val="fr_FR" w:bidi="fr_FR"/>
        </w:rPr>
        <w:t xml:space="preserve">) </w:t>
      </w:r>
      <w:r>
        <w:rPr>
          <w:lang w:val="fr_FR" w:bidi="fr_FR"/>
        </w:rPr>
        <w:t>et à venir en aide à ceux qui risquent d’être égarés par ces enseignements mensongers</w:t>
      </w:r>
      <w:r>
        <w:rPr>
          <w:lang w:val="fr_FR" w:bidi="fr_FR"/>
        </w:rPr>
        <w:t xml:space="preserve"> (</w:t>
      </w:r>
      <w:r>
        <w:rPr>
          <w:lang w:val="fr_FR" w:bidi="fr_FR"/>
        </w:rPr>
        <w:t>1.22–23</w:t>
      </w:r>
      <w:r>
        <w:rPr>
          <w:lang w:val="fr_FR" w:bidi="fr_FR"/>
        </w:rPr>
        <w:t>).</w:t>
      </w:r>
      <w:r>
        <w:rPr>
          <w:lang w:val="fr_FR" w:bidi="fr_FR"/>
        </w:rPr>
      </w:r>
      <w:r>
        <w:rPr>
          <w:lang w:val="fr_FR" w:bidi="fr_FR"/>
        </w:rPr>
      </w:r>
    </w:p>
    <w:p>
      <w:pPr/>
      <w:r>
        <w:rPr>
          <w:lang w:val="fr_FR" w:bidi="fr_FR"/>
        </w:rPr>
      </w:r>
    </w:p>
    <w:p>
      <w:pPr>
        <w:pStyle w:val="Heading2"/>
      </w:pPr>
      <w:r>
        <w:rPr>
          <w:lang w:val="fr_FR" w:bidi="fr_FR"/>
        </w:rPr>
        <w:t>Jude 1.18</w:t>
      </w:r>
      <w:r>
        <w:rPr>
          <w:lang w:val="fr_FR" w:bidi="fr_FR"/>
        </w:rPr>
      </w:r>
    </w:p>
    <w:p>
      <w:pPr/>
      <w:r>
        <w:rPr>
          <w:lang w:val="fr_FR" w:bidi="fr_FR"/>
        </w:rPr>
      </w:r>
      <w:r>
        <w:rPr>
          <w:i/>
          <w:lang w:val="fr_FR" w:bidi="fr_FR"/>
        </w:rPr>
        <w:t>au dernier temps</w:t>
      </w:r>
      <w:r>
        <w:rPr>
          <w:lang w:val="fr_FR" w:bidi="fr_FR"/>
        </w:rPr>
        <w:t xml:space="preserve"> : En venant en tant que Messie (l'élu de Dieu), Jésus a inauguré la phase finale du plan de Dieu. C’est à partir de ce moment que les prophéties de l’Ancien Testament concernant les derniers jours ont commencé à s’accomplir. C’est pourquoi Jude s’appuie sur la prophétie des apôtres au sujet des derniers temps pour éclairer la situation critique que traversent les croyants, confrontés aux faux enseignants</w:t>
      </w:r>
      <w:r>
        <w:rPr>
          <w:lang w:val="fr_FR" w:bidi="fr_FR"/>
        </w:rPr>
        <w:t xml:space="preserve"> (</w:t>
      </w:r>
      <w:r>
        <w:rPr>
          <w:lang w:val="fr_FR" w:bidi="fr_FR"/>
        </w:rPr>
        <w:t>1.19</w:t>
      </w:r>
      <w:r>
        <w:rPr>
          <w:lang w:val="fr_FR" w:bidi="fr_FR"/>
        </w:rPr>
        <w:t>).</w:t>
      </w:r>
      <w:r>
        <w:rPr>
          <w:lang w:val="fr_FR" w:bidi="fr_FR"/>
        </w:rPr>
      </w:r>
      <w:r>
        <w:rPr>
          <w:lang w:val="fr_FR" w:bidi="fr_FR"/>
        </w:rPr>
      </w:r>
    </w:p>
    <w:p>
      <w:pPr/>
      <w:r>
        <w:rPr>
          <w:lang w:val="fr_FR" w:bidi="fr_FR"/>
        </w:rPr>
      </w:r>
    </w:p>
    <w:p>
      <w:pPr>
        <w:pStyle w:val="Heading2"/>
      </w:pPr>
      <w:r>
        <w:rPr>
          <w:lang w:val="fr_FR" w:bidi="fr_FR"/>
        </w:rPr>
        <w:t>Jude 1.20</w:t>
      </w:r>
      <w:r>
        <w:rPr>
          <w:lang w:val="fr_FR" w:bidi="fr_FR"/>
        </w:rPr>
      </w:r>
    </w:p>
    <w:p>
      <w:pPr/>
      <w:r>
        <w:rPr>
          <w:lang w:val="fr_FR" w:bidi="fr_FR"/>
        </w:rPr>
      </w:r>
      <w:r>
        <w:rPr>
          <w:i/>
          <w:lang w:val="fr_FR" w:bidi="fr_FR"/>
        </w:rPr>
        <w:t>votre très sainte foi</w:t>
      </w:r>
      <w:r>
        <w:rPr>
          <w:lang w:val="fr_FR" w:bidi="fr_FR"/>
        </w:rPr>
        <w:t xml:space="preserve"> : </w:t>
      </w:r>
      <w:r>
        <w:rPr>
          <w:lang w:val="fr_FR" w:bidi="fr_FR"/>
        </w:rPr>
        <w:t>Comme mentionné</w:t>
      </w:r>
      <w:r>
        <w:rPr>
          <w:lang w:val="fr_FR" w:bidi="fr_FR"/>
        </w:rPr>
        <w:t xml:space="preserve"> au verset </w:t>
      </w:r>
      <w:r>
        <w:rPr>
          <w:lang w:val="fr_FR" w:bidi="fr_FR"/>
        </w:rPr>
        <w:t>1.3</w:t>
      </w:r>
      <w:r>
        <w:rPr>
          <w:lang w:val="fr_FR" w:bidi="fr_FR"/>
        </w:rPr>
        <w:t xml:space="preserve">, le terme </w:t>
      </w:r>
      <w:r>
        <w:rPr>
          <w:i/>
          <w:lang w:val="fr_FR" w:bidi="fr_FR"/>
        </w:rPr>
        <w:t>foi</w:t>
      </w:r>
      <w:r>
        <w:rPr>
          <w:lang w:val="fr_FR" w:bidi="fr_FR"/>
        </w:rPr>
        <w:t xml:space="preserve"> désigne les </w:t>
      </w:r>
      <w:r>
        <w:rPr>
          <w:lang w:val="fr_FR" w:bidi="fr_FR"/>
        </w:rPr>
        <w:t>enseignements fondamentaux de la foi chrétienne (à la fois ce que les croyants doivent affirmer au sujet de Dieu et la manière dont ils sont appelés à vivre). Ces vérités étant menacées par les faux enseignants, et les chrétiens sont encouragés à s’y attacher avec fermeté et conviction.</w:t>
      </w:r>
      <w:r>
        <w:rPr>
          <w:lang w:val="fr_FR" w:bidi="fr_FR"/>
        </w:rPr>
      </w:r>
      <w:r>
        <w:rPr>
          <w:lang w:val="fr_FR" w:bidi="fr_FR"/>
        </w:rPr>
      </w:r>
    </w:p>
    <w:p>
      <w:pPr/>
      <w:r>
        <w:rPr>
          <w:lang w:val="fr_FR" w:bidi="fr_FR"/>
        </w:rPr>
      </w:r>
    </w:p>
    <w:p>
      <w:pPr>
        <w:pStyle w:val="Heading2"/>
      </w:pPr>
      <w:r>
        <w:rPr>
          <w:lang w:val="fr_FR" w:bidi="fr_FR"/>
        </w:rPr>
        <w:t>Jude 1.22</w:t>
      </w:r>
      <w:r>
        <w:rPr>
          <w:lang w:val="fr_FR" w:bidi="fr_FR"/>
        </w:rPr>
      </w:r>
    </w:p>
    <w:p>
      <w:pPr/>
      <w:r>
        <w:rPr>
          <w:lang w:val="fr_FR" w:bidi="fr_FR"/>
        </w:rPr>
      </w:r>
      <w:r>
        <w:rPr>
          <w:i/>
          <w:lang w:val="fr_FR" w:bidi="fr_FR"/>
        </w:rPr>
        <w:t>ceux qui contestent</w:t>
      </w:r>
      <w:r>
        <w:rPr>
          <w:lang w:val="fr_FR" w:bidi="fr_FR"/>
        </w:rPr>
        <w:t xml:space="preserve"> : Certains croyants étaient </w:t>
      </w:r>
      <w:r>
        <w:rPr>
          <w:lang w:val="fr_FR" w:bidi="fr_FR"/>
        </w:rPr>
        <w:t>ébranlés dans leur foi en raison des discours trompeurs des faux enseignants.</w:t>
      </w:r>
      <w:r>
        <w:rPr>
          <w:lang w:val="fr_FR" w:bidi="fr_FR"/>
        </w:rPr>
      </w:r>
      <w:r>
        <w:rPr>
          <w:lang w:val="fr_FR" w:bidi="fr_FR"/>
        </w:rPr>
      </w:r>
    </w:p>
    <w:p>
      <w:pPr/>
      <w:r>
        <w:rPr>
          <w:lang w:val="fr_FR" w:bidi="fr_FR"/>
        </w:rPr>
      </w:r>
    </w:p>
    <w:p>
      <w:pPr>
        <w:pStyle w:val="Heading2"/>
      </w:pPr>
      <w:r>
        <w:rPr>
          <w:lang w:val="fr_FR" w:bidi="fr_FR"/>
        </w:rPr>
        <w:t>Jude 1.22–23</w:t>
      </w:r>
      <w:r>
        <w:rPr>
          <w:lang w:val="fr_FR" w:bidi="fr_FR"/>
        </w:rPr>
      </w:r>
    </w:p>
    <w:p>
      <w:pPr/>
      <w:r>
        <w:rPr>
          <w:lang w:val="fr_FR" w:bidi="fr_FR"/>
        </w:rPr>
      </w:r>
      <w:r>
        <w:rPr>
          <w:lang w:val="fr_FR" w:bidi="fr_FR"/>
        </w:rPr>
        <w:t xml:space="preserve">La Bible Louis Segond 1910 </w:t>
      </w:r>
      <w:r>
        <w:rPr>
          <w:lang w:val="fr_FR" w:bidi="fr_FR"/>
        </w:rPr>
        <w:t>suit une tradition manuscrite qui distingue trois groupes de personnes qui sont encouragés</w:t>
      </w:r>
      <w:r>
        <w:rPr>
          <w:lang w:val="fr_FR" w:bidi="fr_FR"/>
        </w:rPr>
        <w:t xml:space="preserve"> :</w:t>
      </w:r>
    </w:p>
    <w:p>
      <w:pPr>
        <w:pStyle w:val="ListNumber"/>
        <w:numPr>
          <w:ilvl w:val="0"/>
          <w:numId w:val="14"/>
        </w:numPr>
        <w:spacing w:line="240" w:lineRule="auto"/>
        <w:ind w:left="720"/>
      </w:pPr>
      <w:r>
        <w:rPr>
          <w:lang w:val="fr_FR" w:bidi="fr_FR"/>
        </w:rPr>
      </w:r>
      <w:r>
        <w:rPr>
          <w:lang w:val="fr_FR" w:bidi="fr_FR"/>
        </w:rPr>
        <w:t>ceux qui contestent,</w:t>
      </w:r>
    </w:p>
    <w:p>
      <w:pPr>
        <w:pStyle w:val="ListNumber"/>
        <w:spacing w:line="240" w:lineRule="auto"/>
        <w:ind w:left="720"/>
      </w:pPr>
      <w:r>
        <w:rPr>
          <w:lang w:val="fr_FR" w:bidi="fr_FR"/>
        </w:rPr>
      </w:r>
      <w:r>
        <w:rPr>
          <w:lang w:val="fr_FR" w:bidi="fr_FR"/>
        </w:rPr>
        <w:t>ceux qu’il faut sauver du jugement en les arrachant « du feu »</w:t>
      </w:r>
      <w:r>
        <w:rPr>
          <w:lang w:val="fr_FR" w:bidi="fr_FR"/>
        </w:rPr>
        <w:t xml:space="preserve"> et</w:t>
      </w:r>
    </w:p>
    <w:p>
      <w:pPr>
        <w:pStyle w:val="ListNumber"/>
        <w:spacing w:line="240" w:lineRule="auto"/>
        <w:ind w:left="720"/>
      </w:pPr>
      <w:r>
        <w:rPr>
          <w:lang w:val="fr_FR" w:bidi="fr_FR"/>
        </w:rPr>
      </w:r>
      <w:r>
        <w:rPr>
          <w:lang w:val="fr_FR" w:bidi="fr_FR"/>
        </w:rPr>
        <w:t>ceux qui ont besoin de miséricorde.</w:t>
      </w:r>
    </w:p>
    <w:p>
      <w:pPr/>
      <w:r>
        <w:rPr>
          <w:lang w:val="fr_FR" w:bidi="fr_FR"/>
        </w:rPr>
      </w:r>
      <w:r>
        <w:rPr>
          <w:lang w:val="fr_FR" w:bidi="fr_FR"/>
        </w:rPr>
        <w:t>Cependant, certains manuscrits plus courts ne mentionnent que deux groupes :</w:t>
      </w:r>
    </w:p>
    <w:p>
      <w:pPr>
        <w:pStyle w:val="ListNumber"/>
        <w:numPr>
          <w:ilvl w:val="0"/>
          <w:numId w:val="15"/>
        </w:numPr>
        <w:spacing w:line="240" w:lineRule="auto"/>
        <w:ind w:left="720"/>
      </w:pPr>
      <w:r>
        <w:rPr>
          <w:lang w:val="fr_FR" w:bidi="fr_FR"/>
        </w:rPr>
      </w:r>
      <w:r>
        <w:rPr>
          <w:lang w:val="fr_FR" w:bidi="fr_FR"/>
        </w:rPr>
        <w:t>ceux dont la foi chancelle, qu’il faut sauver du jugement,</w:t>
      </w:r>
    </w:p>
    <w:p>
      <w:pPr>
        <w:pStyle w:val="ListNumber"/>
        <w:spacing w:line="240" w:lineRule="auto"/>
        <w:ind w:left="720"/>
      </w:pPr>
      <w:r>
        <w:rPr>
          <w:lang w:val="fr_FR" w:bidi="fr_FR"/>
        </w:rPr>
      </w:r>
      <w:r>
        <w:rPr>
          <w:lang w:val="fr_FR" w:bidi="fr_FR"/>
        </w:rPr>
        <w:t>ceux qui ont besoin de miséricorde.</w:t>
      </w:r>
    </w:p>
    <w:p>
      <w:pPr/>
      <w:r>
        <w:rPr>
          <w:lang w:val="fr_FR" w:bidi="fr_FR"/>
        </w:rPr>
      </w:r>
      <w:r>
        <w:rPr>
          <w:lang w:val="fr_FR" w:bidi="fr_FR"/>
        </w:rPr>
        <w:t xml:space="preserve">La Bible Louis Segond 1910 </w:t>
      </w:r>
      <w:r>
        <w:rPr>
          <w:lang w:val="fr_FR" w:bidi="fr_FR"/>
        </w:rPr>
        <w:t>privilégie la tradition avec trois volets, cohérent avec d’autres passages de l’épître</w:t>
      </w:r>
      <w:r>
        <w:rPr>
          <w:lang w:val="fr_FR" w:bidi="fr_FR"/>
        </w:rPr>
        <w:t xml:space="preserve"> (</w:t>
      </w:r>
      <w:r>
        <w:rPr>
          <w:lang w:val="fr_FR" w:bidi="fr_FR"/>
        </w:rPr>
        <w:t>1.5–7</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Jude 1.23</w:t>
      </w:r>
      <w:r>
        <w:rPr>
          <w:lang w:val="fr_FR" w:bidi="fr_FR"/>
        </w:rPr>
      </w:r>
    </w:p>
    <w:p>
      <w:pPr>
        <w:pStyle w:val="ListBullet"/>
        <w:spacing w:line="240" w:lineRule="auto"/>
        <w:ind w:left="720"/>
      </w:pPr>
      <w:r>
        <w:rPr>
          <w:lang w:val="fr_FR" w:bidi="fr_FR"/>
        </w:rPr>
      </w:r>
      <w:r>
        <w:rPr>
          <w:i/>
          <w:lang w:val="fr_FR" w:bidi="fr_FR"/>
        </w:rPr>
        <w:t>Sauvez-en d’autres</w:t>
      </w:r>
      <w:r>
        <w:rPr>
          <w:lang w:val="fr_FR" w:bidi="fr_FR"/>
        </w:rPr>
        <w:t xml:space="preserve"> : </w:t>
      </w:r>
      <w:r>
        <w:rPr>
          <w:lang w:val="fr_FR" w:bidi="fr_FR"/>
        </w:rPr>
        <w:t>Certains croyants, fortement influencés par les faux enseignants, étaient en danger de condamnation.</w:t>
      </w:r>
    </w:p>
    <w:p>
      <w:pPr>
        <w:pStyle w:val="ListBullet"/>
        <w:spacing w:line="240" w:lineRule="auto"/>
        <w:ind w:left="720"/>
      </w:pPr>
      <w:r>
        <w:rPr>
          <w:lang w:val="fr_FR" w:bidi="fr_FR"/>
        </w:rPr>
      </w:r>
      <w:r>
        <w:rPr>
          <w:i/>
          <w:lang w:val="fr_FR" w:bidi="fr_FR"/>
        </w:rPr>
        <w:t>et pour d’autres encore, ayez une pitié</w:t>
      </w:r>
      <w:r>
        <w:rPr>
          <w:lang w:val="fr_FR" w:bidi="fr_FR"/>
        </w:rPr>
        <w:t xml:space="preserve"> : </w:t>
      </w:r>
      <w:r>
        <w:rPr>
          <w:lang w:val="fr_FR" w:bidi="fr_FR"/>
        </w:rPr>
        <w:t>Ce groupe désigne probablement les faux enseignants eux-mêmes, ou ceux qui se sont laissés entraîner par leurs doctrines. Leur témoigner de la miséricorde peut notamment passer par la prière en leur faveur</w:t>
      </w:r>
      <w:r>
        <w:rPr>
          <w:lang w:val="fr_FR" w:bidi="fr_FR"/>
        </w:rPr>
        <w:t xml:space="preserve"> (voir </w:t>
      </w:r>
      <w:r>
        <w:rPr>
          <w:lang w:val="fr_FR" w:bidi="fr_FR"/>
        </w:rPr>
        <w:t>Mt 5.44</w:t>
      </w:r>
      <w:r>
        <w:rPr>
          <w:lang w:val="fr_FR" w:bidi="fr_FR"/>
        </w:rPr>
        <w:t>).</w:t>
      </w:r>
    </w:p>
    <w:p>
      <w:pPr>
        <w:pStyle w:val="ListBullet"/>
        <w:spacing w:line="240" w:lineRule="auto"/>
        <w:ind w:left="720"/>
      </w:pPr>
      <w:r>
        <w:rPr>
          <w:lang w:val="fr_FR" w:bidi="fr_FR"/>
        </w:rPr>
      </w:r>
      <w:r>
        <w:rPr>
          <w:lang w:val="fr_FR" w:bidi="fr_FR"/>
        </w:rPr>
        <w:t>Toutefois, les croyants sont appelés à faire preuve d’une grande prudence lorsqu’ils tendent la main à ces personnes, car ils pourraient eux-mêmes être exposés à la séduction du péché (v</w:t>
      </w:r>
      <w:r>
        <w:rPr>
          <w:lang w:val="fr_FR" w:bidi="fr_FR"/>
        </w:rPr>
        <w:t xml:space="preserve">oir </w:t>
      </w:r>
      <w:r>
        <w:rPr>
          <w:lang w:val="fr_FR" w:bidi="fr_FR"/>
        </w:rPr>
        <w:t>Za 3.1–4</w:t>
      </w:r>
      <w:r>
        <w:rPr>
          <w:lang w:val="fr_FR" w:bidi="fr_FR"/>
        </w:rPr>
        <w:t xml:space="preserve"> ; </w:t>
      </w:r>
      <w:r>
        <w:rPr>
          <w:lang w:val="fr_FR" w:bidi="fr_FR"/>
        </w:rPr>
        <w:t>Ap 3.4</w:t>
      </w:r>
      <w:r>
        <w:rPr>
          <w:lang w:val="fr_FR" w:bidi="fr_FR"/>
        </w:rPr>
        <w:t>).</w:t>
      </w:r>
      <w:r>
        <w:rPr>
          <w:lang w:val="fr_FR" w:bidi="fr_FR"/>
        </w:rPr>
      </w:r>
      <w:r>
        <w:rPr>
          <w:lang w:val="fr_FR" w:bidi="fr_FR"/>
        </w:rPr>
      </w:r>
    </w:p>
    <w:p>
      <w:pPr/>
      <w:r>
        <w:rPr>
          <w:lang w:val="fr_FR" w:bidi="fr_FR"/>
        </w:rPr>
      </w:r>
    </w:p>
    <w:p>
      <w:pPr>
        <w:pStyle w:val="Heading2"/>
      </w:pPr>
      <w:r>
        <w:rPr>
          <w:lang w:val="fr_FR" w:bidi="fr_FR"/>
        </w:rPr>
        <w:t>Jude 1.24–25</w:t>
      </w:r>
      <w:r>
        <w:rPr>
          <w:lang w:val="fr_FR" w:bidi="fr_FR"/>
        </w:rPr>
      </w:r>
    </w:p>
    <w:p>
      <w:pPr/>
      <w:r>
        <w:rPr>
          <w:lang w:val="fr_FR" w:bidi="fr_FR"/>
        </w:rPr>
      </w:r>
      <w:r>
        <w:rPr>
          <w:lang w:val="fr_FR" w:bidi="fr_FR"/>
        </w:rPr>
        <w:t>Jude conclut sa lettre par une doxologie majestueuse, souvent reprise dans les temps de culte. Ses paroles résonnent avec justesse pour ses destinataires, qui avaient besoin d’un regard renouvelé sur la grandeur de Dieu. Il leur rappelle que Dieu est pleinement capable de les garder fermement attachés à lui et de les préserver des séductions des faux enseignements. Il les encourage à placer leur confiance en celui qui détient la gloire, la majesté, la puissance et l’autorité, et qui peut les faire paraître irréprochables dans sa présence glorieuse, pour l’éternité.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