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मत्ती 26:26–29</w:t>
      </w:r>
      <w:r>
        <w:rPr>
          <w:lang w:val="hi_IN" w:bidi="hi_IN"/>
        </w:rPr>
      </w:r>
    </w:p>
    <w:p>
      <w:pPr/>
      <w:r>
        <w:rPr>
          <w:lang w:val="hi_IN" w:bidi="hi_IN"/>
        </w:rPr>
      </w:r>
      <w:r>
        <w:rPr>
          <w:lang w:val="hi_IN" w:bidi="hi_IN"/>
        </w:rPr>
        <w:t xml:space="preserve">अंतिम भोज का महत्व आंशिक रूप से यहूदी फसह से प्राप्त होता है (देखें </w:t>
      </w:r>
      <w:r>
        <w:rPr>
          <w:lang w:val="hi_IN" w:bidi="hi_IN"/>
        </w:rPr>
        <w:t>निर्ग 12</w:t>
      </w:r>
      <w:r>
        <w:rPr>
          <w:lang w:val="hi_IN" w:bidi="hi_IN"/>
        </w:rPr>
        <w:t xml:space="preserve">)। </w:t>
      </w:r>
      <w:r>
        <w:rPr>
          <w:lang w:val="hi_IN" w:bidi="hi_IN"/>
        </w:rPr>
        <w:t>फसह के लिए यहूदी धर्म के चरण इस प्रकार हैं</w:t>
      </w:r>
      <w:r>
        <w:rPr>
          <w:lang w:val="hi_IN" w:bidi="hi_IN"/>
        </w:rPr>
        <w:t xml:space="preserve">: (1) उत्सव आशीर्वाद; (2) पहला प्याला (देखें </w:t>
      </w:r>
      <w:r>
        <w:rPr>
          <w:lang w:val="hi_IN" w:bidi="hi_IN"/>
        </w:rPr>
        <w:t>लूका 22:17–18</w:t>
      </w:r>
      <w:r>
        <w:rPr>
          <w:lang w:val="hi_IN" w:bidi="hi_IN"/>
        </w:rPr>
        <w:t xml:space="preserve">); (3) कड़वे जड़ी-बूटियों का खाना (देखें </w:t>
      </w:r>
      <w:r>
        <w:rPr>
          <w:lang w:val="hi_IN" w:bidi="hi_IN"/>
        </w:rPr>
        <w:t>मत्ती 26:23</w:t>
      </w:r>
      <w:r>
        <w:rPr>
          <w:lang w:val="hi_IN" w:bidi="hi_IN"/>
        </w:rPr>
        <w:t xml:space="preserve"> और </w:t>
      </w:r>
      <w:r>
        <w:rPr>
          <w:lang w:val="hi_IN" w:bidi="hi_IN"/>
        </w:rPr>
        <w:t xml:space="preserve">संबंधित अध्ययन पत्री </w:t>
      </w:r>
      <w:r>
        <w:rPr>
          <w:lang w:val="hi_IN" w:bidi="hi_IN"/>
        </w:rPr>
        <w:t>; (4) बिना खमीर की रोटी खाना (</w:t>
      </w:r>
      <w:r>
        <w:rPr>
          <w:lang w:val="hi_IN" w:bidi="hi_IN"/>
        </w:rPr>
        <w:t>26:26</w:t>
      </w:r>
      <w:r>
        <w:rPr>
          <w:lang w:val="hi_IN" w:bidi="hi_IN"/>
        </w:rPr>
        <w:t xml:space="preserve">; </w:t>
      </w:r>
      <w:r>
        <w:rPr>
          <w:lang w:val="hi_IN" w:bidi="hi_IN"/>
        </w:rPr>
        <w:t>मरकुस 14:22</w:t>
      </w:r>
      <w:r>
        <w:rPr>
          <w:lang w:val="hi_IN" w:bidi="hi_IN"/>
        </w:rPr>
        <w:t xml:space="preserve">); (5) दूसरा प्याला मिलाया जाता है; (6) फसह </w:t>
      </w:r>
      <w:r>
        <w:rPr>
          <w:i/>
          <w:lang w:val="hi_IN" w:bidi="hi_IN"/>
        </w:rPr>
        <w:t>हग्गदाह</w:t>
      </w:r>
      <w:r>
        <w:rPr>
          <w:lang w:val="hi_IN" w:bidi="hi_IN"/>
        </w:rPr>
        <w:t xml:space="preserve"> (पाठ) दिया जाता है (</w:t>
      </w:r>
      <w:r>
        <w:rPr>
          <w:lang w:val="hi_IN" w:bidi="hi_IN"/>
        </w:rPr>
        <w:t>निर्ग 12</w:t>
      </w:r>
      <w:r>
        <w:rPr>
          <w:lang w:val="hi_IN" w:bidi="hi_IN"/>
        </w:rPr>
        <w:t xml:space="preserve">); (7) </w:t>
      </w:r>
      <w:r>
        <w:rPr>
          <w:i/>
          <w:lang w:val="hi_IN" w:bidi="hi_IN"/>
        </w:rPr>
        <w:t>हल्लेल</w:t>
      </w:r>
      <w:r>
        <w:rPr>
          <w:lang w:val="hi_IN" w:bidi="hi_IN"/>
        </w:rPr>
        <w:t xml:space="preserve"> का पहला भाग (</w:t>
      </w:r>
      <w:r>
        <w:rPr>
          <w:lang w:val="hi_IN" w:bidi="hi_IN"/>
        </w:rPr>
        <w:t>भज 113–114</w:t>
      </w:r>
      <w:r>
        <w:rPr>
          <w:lang w:val="hi_IN" w:bidi="hi_IN"/>
        </w:rPr>
        <w:t xml:space="preserve">; देखें </w:t>
      </w:r>
      <w:r>
        <w:rPr>
          <w:lang w:val="hi_IN" w:bidi="hi_IN"/>
        </w:rPr>
        <w:t>भज 113–118 पर अध्ययन पत्री</w:t>
      </w:r>
      <w:r>
        <w:rPr>
          <w:lang w:val="hi_IN" w:bidi="hi_IN"/>
        </w:rPr>
        <w:t>); (8) दूसरा प्याला लिया जाता है; (9) बिना खमीर की रोटी का आशीष और खाना (</w:t>
      </w:r>
      <w:r>
        <w:rPr>
          <w:lang w:val="hi_IN" w:bidi="hi_IN"/>
        </w:rPr>
        <w:t>मत्ती 26:26</w:t>
      </w:r>
      <w:r>
        <w:rPr>
          <w:lang w:val="hi_IN" w:bidi="hi_IN"/>
        </w:rPr>
        <w:t xml:space="preserve">; </w:t>
      </w:r>
      <w:r>
        <w:rPr>
          <w:lang w:val="hi_IN" w:bidi="hi_IN"/>
        </w:rPr>
        <w:t>मरकुस 14:22</w:t>
      </w:r>
      <w:r>
        <w:rPr>
          <w:lang w:val="hi_IN" w:bidi="hi_IN"/>
        </w:rPr>
        <w:t xml:space="preserve">; </w:t>
      </w:r>
      <w:r>
        <w:rPr>
          <w:lang w:val="hi_IN" w:bidi="hi_IN"/>
        </w:rPr>
        <w:t>लूका 22:19</w:t>
      </w:r>
      <w:r>
        <w:rPr>
          <w:lang w:val="hi_IN" w:bidi="hi_IN"/>
        </w:rPr>
        <w:t>); (10) फसह का मेमना खाया जाता है; (11) तीसरा प्याला (</w:t>
      </w:r>
      <w:r>
        <w:rPr>
          <w:lang w:val="hi_IN" w:bidi="hi_IN"/>
        </w:rPr>
        <w:t>मत्ती 26:27–28</w:t>
      </w:r>
      <w:r>
        <w:rPr>
          <w:lang w:val="hi_IN" w:bidi="hi_IN"/>
        </w:rPr>
        <w:t xml:space="preserve">; </w:t>
      </w:r>
      <w:r>
        <w:rPr>
          <w:lang w:val="hi_IN" w:bidi="hi_IN"/>
        </w:rPr>
        <w:t>मरकुस 14:23–24</w:t>
      </w:r>
      <w:r>
        <w:rPr>
          <w:lang w:val="hi_IN" w:bidi="hi_IN"/>
        </w:rPr>
        <w:t xml:space="preserve">; </w:t>
      </w:r>
      <w:r>
        <w:rPr>
          <w:lang w:val="hi_IN" w:bidi="hi_IN"/>
        </w:rPr>
        <w:t>लूका 22:20</w:t>
      </w:r>
      <w:r>
        <w:rPr>
          <w:lang w:val="hi_IN" w:bidi="hi_IN"/>
        </w:rPr>
        <w:t xml:space="preserve">); (12) चौथा प्याला (देखें </w:t>
      </w:r>
      <w:r>
        <w:rPr>
          <w:lang w:val="hi_IN" w:bidi="hi_IN"/>
        </w:rPr>
        <w:t>मत्ती 26:29</w:t>
      </w:r>
      <w:r>
        <w:rPr>
          <w:lang w:val="hi_IN" w:bidi="hi_IN"/>
        </w:rPr>
        <w:t xml:space="preserve">[?]; </w:t>
      </w:r>
      <w:r>
        <w:rPr>
          <w:lang w:val="hi_IN" w:bidi="hi_IN"/>
        </w:rPr>
        <w:t>मरकुस 14:25</w:t>
      </w:r>
      <w:r>
        <w:rPr>
          <w:lang w:val="hi_IN" w:bidi="hi_IN"/>
        </w:rPr>
        <w:t xml:space="preserve">[?]); (13) संगति का समय; (14) </w:t>
      </w:r>
      <w:r>
        <w:rPr>
          <w:i/>
          <w:lang w:val="hi_IN" w:bidi="hi_IN"/>
        </w:rPr>
        <w:t>हल्लेल</w:t>
      </w:r>
      <w:r>
        <w:rPr>
          <w:lang w:val="hi_IN" w:bidi="hi_IN"/>
        </w:rPr>
        <w:t xml:space="preserve"> का दूसरा भाग (</w:t>
      </w:r>
      <w:r>
        <w:rPr>
          <w:lang w:val="hi_IN" w:bidi="hi_IN"/>
        </w:rPr>
        <w:t>भज 115–118</w:t>
      </w:r>
      <w:r>
        <w:rPr>
          <w:lang w:val="hi_IN" w:bidi="hi_IN"/>
        </w:rPr>
        <w:t xml:space="preserve">; देखें </w:t>
      </w:r>
      <w:r>
        <w:rPr>
          <w:lang w:val="hi_IN" w:bidi="hi_IN"/>
        </w:rPr>
        <w:t>मत्ती 26:30</w:t>
      </w:r>
      <w:r>
        <w:rPr>
          <w:lang w:val="hi_IN" w:bidi="hi_IN"/>
        </w:rPr>
        <w:t xml:space="preserve">)। अंतिम भोज के बारे में नये नियम के किसी भी विवरण में विशिष्ट यहूदी फसह के सभी पहलुओं का उल्लेख नहीं है। हालाँकि, फसह के सबसे महत्वपूर्ण पहलू जो प्रभु भोज के प्रारंभिक मसीह उत्सव को अर्थ देते हैं, शामिल हैं (देखें </w:t>
      </w:r>
      <w:r>
        <w:rPr>
          <w:lang w:val="hi_IN" w:bidi="hi_IN"/>
        </w:rPr>
        <w:t>1 कुरि 11:23–25</w:t>
      </w:r>
      <w:r>
        <w:rPr>
          <w:lang w:val="hi_IN" w:bidi="hi_IN"/>
        </w:rPr>
        <w:t>)। यीशु, परमेश्वर का मेमना, अंतिम फसह का मेमना और पाप के लिए पूर्ण बलिदान है।</w:t>
      </w:r>
    </w:p>
    <w:p>
      <w:pPr/>
      <w:r>
        <w:rPr>
          <w:lang w:val="hi_IN" w:bidi="hi_IN"/>
        </w:rPr>
      </w:r>
      <w:r>
        <w:rPr>
          <w:lang w:val="hi_IN" w:bidi="hi_IN"/>
        </w:rPr>
        <w:t xml:space="preserve">• </w:t>
      </w:r>
      <w:r>
        <w:rPr>
          <w:lang w:val="hi_IN" w:bidi="hi_IN"/>
        </w:rPr>
        <w:t>यह मेरा शरीर है .</w:t>
      </w:r>
      <w:r>
        <w:rPr>
          <w:lang w:val="hi_IN" w:bidi="hi_IN"/>
        </w:rPr>
        <w:t xml:space="preserve"> . . </w:t>
      </w:r>
      <w:r>
        <w:rPr>
          <w:lang w:val="hi_IN" w:bidi="hi_IN"/>
        </w:rPr>
        <w:t>मेरा लहू: सुधार आंदोलन के बाद से</w:t>
      </w:r>
      <w:r>
        <w:rPr>
          <w:lang w:val="hi_IN" w:bidi="hi_IN"/>
        </w:rPr>
        <w:t xml:space="preserve">, </w:t>
      </w:r>
      <w:r>
        <w:rPr>
          <w:lang w:val="hi_IN" w:bidi="hi_IN"/>
        </w:rPr>
        <w:t>यीशु की रोटी और दाखरस के बारे में बयानों की तीन प्रमुख व्याख्याएँ रही हैं: (</w:t>
      </w:r>
      <w:r>
        <w:rPr>
          <w:lang w:val="hi_IN" w:bidi="hi_IN"/>
        </w:rPr>
        <w:t xml:space="preserve">1) </w:t>
      </w:r>
      <w:r>
        <w:rPr>
          <w:lang w:val="hi_IN" w:bidi="hi_IN"/>
        </w:rPr>
        <w:t>कि रोटी और दाखरस यीशु मसीह के वास्तविक शरीर और लहू में बदल जाते हैं (</w:t>
      </w:r>
      <w:r>
        <w:rPr>
          <w:i/>
          <w:lang w:val="hi_IN" w:bidi="hi_IN"/>
        </w:rPr>
        <w:t>परिवर्तन</w:t>
      </w:r>
      <w:r>
        <w:rPr>
          <w:lang w:val="hi_IN" w:bidi="hi_IN"/>
        </w:rPr>
        <w:t>); (2) यह समझा जाता है कि मसीह वास्तव में संस्कार में रहस्यमय लेकिन वास्तविक तरीके से उपस्थित है जो मानवीय समझ से परे है (</w:t>
      </w:r>
      <w:r>
        <w:rPr>
          <w:i/>
          <w:lang w:val="hi_IN" w:bidi="hi_IN"/>
        </w:rPr>
        <w:t>वास्तविक उपस्थिति</w:t>
      </w:r>
      <w:r>
        <w:rPr>
          <w:lang w:val="hi_IN" w:bidi="hi_IN"/>
        </w:rPr>
        <w:t xml:space="preserve">); (3) </w:t>
      </w:r>
      <w:r>
        <w:rPr>
          <w:lang w:val="hi_IN" w:bidi="hi_IN"/>
        </w:rPr>
        <w:t>कि रोटी और दाखरस मसीह के शरीर और लहू का प्रतीक हैं</w:t>
      </w:r>
      <w:r>
        <w:rPr>
          <w:lang w:val="hi_IN" w:bidi="hi_IN"/>
        </w:rPr>
        <w:t xml:space="preserve">, </w:t>
      </w:r>
      <w:r>
        <w:rPr>
          <w:lang w:val="hi_IN" w:bidi="hi_IN"/>
        </w:rPr>
        <w:t>जो आत्मा द्वारा विश्वास के माध्यम से प्राप्तकर्ता को लाभान्वित करते हैं (</w:t>
      </w:r>
      <w:r>
        <w:rPr>
          <w:i/>
          <w:lang w:val="hi_IN" w:bidi="hi_IN"/>
        </w:rPr>
        <w:t>प्रतीकवाद</w:t>
      </w:r>
      <w:r>
        <w:rPr>
          <w:lang w:val="hi_IN" w:bidi="hi_IN"/>
        </w:rPr>
        <w:t>)</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