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hyperlink r:id="rId13">
        <w:r>
          <w:rPr>
            <w:lang w:val="pt_PT" w:bidi="pt_PT"/>
          </w:rPr>
          <w:rPr>
            <w:color w:val="0000EE"/>
            <w:u w:val="single"/>
          </w:rPr>
          <w:t>Gn 5.3–32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hyperlink r:id="rId14">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hyperlink r:id="rId15">
        <w:r>
          <w:rPr>
            <w:lang w:val="pt_PT" w:bidi="pt_PT"/>
          </w:rPr>
          <w:rPr>
            <w:color w:val="0000EE"/>
            <w:u w:val="single"/>
          </w:rPr>
          <w:t>Gn 11.10–26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hyperlink r:id="rId16">
        <w:r>
          <w:rPr>
            <w:lang w:val="pt_PT" w:bidi="pt_PT"/>
          </w:rPr>
          <w:rPr>
            <w:color w:val="0000EE"/>
            <w:u w:val="single"/>
          </w:rPr>
          <w:t>1.29–31</w:t>
        </w:r>
      </w:hyperlink>
      <w:r>
        <w:rPr>
          <w:lang w:val="pt_PT" w:bidi="pt_PT"/>
        </w:rPr>
        <w:t xml:space="preserve">; cp. </w:t>
      </w:r>
      <w:hyperlink r:id="rId17">
        <w:r>
          <w:rPr>
            <w:lang w:val="pt_PT" w:bidi="pt_PT"/>
          </w:rPr>
          <w:rPr>
            <w:color w:val="0000EE"/>
            <w:u w:val="single"/>
          </w:rPr>
          <w:t>Gn 25.12–15</w:t>
        </w:r>
      </w:hyperlink>
      <w:r>
        <w:rPr>
          <w:lang w:val="pt_PT" w:bidi="pt_PT"/>
        </w:rPr>
        <w:t>) e os filhos de Quetura (</w:t>
      </w:r>
      <w:hyperlink r:id="rId18">
        <w:r>
          <w:rPr>
            <w:lang w:val="pt_PT" w:bidi="pt_PT"/>
          </w:rPr>
          <w:rPr>
            <w:color w:val="0000EE"/>
            <w:u w:val="single"/>
          </w:rPr>
          <w:t>1Cr 1.32–33</w:t>
        </w:r>
      </w:hyperlink>
      <w:r>
        <w:rPr>
          <w:lang w:val="pt_PT" w:bidi="pt_PT"/>
        </w:rPr>
        <w:t xml:space="preserve">; cp. </w:t>
      </w:r>
      <w:hyperlink r:id="rId19">
        <w:r>
          <w:rPr>
            <w:lang w:val="pt_PT" w:bidi="pt_PT"/>
          </w:rPr>
          <w:rPr>
            <w:color w:val="0000EE"/>
            <w:u w:val="single"/>
          </w:rPr>
          <w:t>Gn 25.1–3</w:t>
        </w:r>
      </w:hyperlink>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hyperlink r:id="rId20">
        <w:r>
          <w:rPr>
            <w:lang w:val="pt_PT" w:bidi="pt_PT"/>
          </w:rPr>
          <w:rPr>
            <w:color w:val="0000EE"/>
            <w:u w:val="single"/>
          </w:rPr>
          <w:t>1.35–54</w:t>
        </w:r>
      </w:hyperlink>
      <w:r>
        <w:rPr>
          <w:lang w:val="pt_PT" w:bidi="pt_PT"/>
        </w:rPr>
        <w:t>) e continua com Israel. A história de Edom é apresentada em três partes: os filhos de Esaú (</w:t>
      </w:r>
      <w:hyperlink r:id="rId21">
        <w:r>
          <w:rPr>
            <w:lang w:val="pt_PT" w:bidi="pt_PT"/>
          </w:rPr>
          <w:rPr>
            <w:color w:val="0000EE"/>
            <w:u w:val="single"/>
          </w:rPr>
          <w:t>1.35–37</w:t>
        </w:r>
      </w:hyperlink>
      <w:r>
        <w:rPr>
          <w:lang w:val="pt_PT" w:bidi="pt_PT"/>
        </w:rPr>
        <w:t>), os descendentes de Seir (</w:t>
      </w:r>
      <w:hyperlink r:id="rId22">
        <w:r>
          <w:rPr>
            <w:lang w:val="pt_PT" w:bidi="pt_PT"/>
          </w:rPr>
          <w:rPr>
            <w:color w:val="0000EE"/>
            <w:u w:val="single"/>
          </w:rPr>
          <w:t>1.38–42</w:t>
        </w:r>
      </w:hyperlink>
      <w:r>
        <w:rPr>
          <w:lang w:val="pt_PT" w:bidi="pt_PT"/>
        </w:rPr>
        <w:t>) e os reis que governaram na terra de Edom (</w:t>
      </w:r>
      <w:hyperlink r:id="rId23">
        <w:r>
          <w:rPr>
            <w:lang w:val="pt_PT" w:bidi="pt_PT"/>
          </w:rPr>
          <w:rPr>
            <w:color w:val="0000EE"/>
            <w:u w:val="single"/>
          </w:rPr>
          <w:t>1.43–54</w:t>
        </w:r>
      </w:hyperlink>
      <w:r>
        <w:rPr>
          <w:lang w:val="pt_PT" w:bidi="pt_PT"/>
        </w:rPr>
        <w:t xml:space="preserve">). Esta disposição segue </w:t>
      </w:r>
      <w:hyperlink r:id="rId24">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hyperlink r:id="rId25">
        <w:r>
          <w:rPr>
            <w:lang w:val="pt_PT" w:bidi="pt_PT"/>
          </w:rPr>
          <w:rPr>
            <w:color w:val="0000EE"/>
            <w:u w:val="single"/>
          </w:rPr>
          <w:t>Gn 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hyperlink r:id="rId26">
        <w:r>
          <w:rPr>
            <w:lang w:val="pt_PT" w:bidi="pt_PT"/>
          </w:rPr>
          <w:rPr>
            <w:color w:val="0000EE"/>
            <w:u w:val="single"/>
          </w:rPr>
          <w:t>Gn 38.6–10</w:t>
        </w:r>
      </w:hyperlink>
      <w:r>
        <w:rPr>
          <w:lang w:val="pt_PT" w:bidi="pt_PT"/>
        </w:rPr>
        <w:t>). Os descendentes de Selá são listados como um apêndice no final das genealogias de Judá (</w:t>
      </w:r>
      <w:hyperlink r:id="rId27">
        <w:r>
          <w:rPr>
            <w:lang w:val="pt_PT" w:bidi="pt_PT"/>
          </w:rPr>
          <w:rPr>
            <w:color w:val="0000EE"/>
            <w:u w:val="single"/>
          </w:rPr>
          <w:t>1Cr 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hyperlink r:id="rId28">
        <w:r>
          <w:rPr>
            <w:lang w:val="pt_PT" w:bidi="pt_PT"/>
          </w:rPr>
          <w:rPr>
            <w:color w:val="0000EE"/>
            <w:u w:val="single"/>
          </w:rPr>
          <w:t>Gn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hyperlink r:id="rId29">
        <w:r>
          <w:rPr>
            <w:lang w:val="pt_PT" w:bidi="pt_PT"/>
          </w:rPr>
          <w:rPr>
            <w:color w:val="0000EE"/>
            <w:u w:val="single"/>
          </w:rPr>
          <w:t>2.1–2</w:t>
        </w:r>
      </w:hyperlink>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hyperlink r:id="rId30">
        <w:r>
          <w:rPr>
            <w:lang w:val="pt_PT" w:bidi="pt_PT"/>
          </w:rPr>
          <w:rPr>
            <w:color w:val="0000EE"/>
            <w:u w:val="single"/>
          </w:rPr>
          <w:t>Js 7.1</w:t>
        </w:r>
      </w:hyperlink>
      <w:r>
        <w:rPr>
          <w:lang w:val="pt_PT" w:bidi="pt_PT"/>
        </w:rPr>
        <w:t>,</w:t>
      </w:r>
      <w:hyperlink r:id="rId31">
        <w:r>
          <w:rPr>
            <w:lang w:val="pt_PT" w:bidi="pt_PT"/>
          </w:rPr>
          <w:rPr>
            <w:color w:val="0000EE"/>
            <w:u w:val="single"/>
          </w:rPr>
          <w:t>17</w:t>
        </w:r>
      </w:hyperlink>
      <w:r>
        <w:rPr>
          <w:lang w:val="pt_PT" w:bidi="pt_PT"/>
        </w:rPr>
        <w:t xml:space="preserve">; </w:t>
      </w:r>
      <w:hyperlink r:id="rId32">
        <w:r>
          <w:rPr>
            <w:lang w:val="pt_PT" w:bidi="pt_PT"/>
          </w:rPr>
          <w:rPr>
            <w:color w:val="0000EE"/>
            <w:u w:val="single"/>
          </w:rPr>
          <w:t>1Rs 4.31</w:t>
        </w:r>
      </w:hyperlink>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hyperlink r:id="rId33">
        <w:r>
          <w:rPr>
            <w:lang w:val="pt_PT" w:bidi="pt_PT"/>
          </w:rPr>
          <w:rPr>
            <w:color w:val="0000EE"/>
            <w:u w:val="single"/>
          </w:rPr>
          <w:t>2.42–55</w:t>
        </w:r>
      </w:hyperlink>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hyperlink r:id="rId34">
        <w:r>
          <w:rPr>
            <w:lang w:val="pt_PT" w:bidi="pt_PT"/>
          </w:rPr>
          <w:rPr>
            <w:color w:val="0000EE"/>
            <w:u w:val="single"/>
          </w:rPr>
          <w:t>2.9–17</w:t>
        </w:r>
      </w:hyperlink>
      <w:r>
        <w:rPr>
          <w:lang w:val="pt_PT" w:bidi="pt_PT"/>
        </w:rPr>
        <w:t xml:space="preserve">; cp. </w:t>
      </w:r>
      <w:hyperlink r:id="rId35">
        <w:r>
          <w:rPr>
            <w:lang w:val="pt_PT" w:bidi="pt_PT"/>
          </w:rPr>
          <w:rPr>
            <w:color w:val="0000EE"/>
            <w:u w:val="single"/>
          </w:rPr>
          <w:t>Rt 4.18–22</w:t>
        </w:r>
      </w:hyperlink>
      <w:r>
        <w:rPr>
          <w:lang w:val="pt_PT" w:bidi="pt_PT"/>
        </w:rPr>
        <w:t>), os outros descendentes de Hezrom (</w:t>
      </w:r>
      <w:hyperlink r:id="rId36">
        <w:r>
          <w:rPr>
            <w:lang w:val="pt_PT" w:bidi="pt_PT"/>
          </w:rPr>
          <w:rPr>
            <w:color w:val="0000EE"/>
            <w:u w:val="single"/>
          </w:rPr>
          <w:t>1Cr 2.18–41</w:t>
        </w:r>
      </w:hyperlink>
      <w:r>
        <w:rPr>
          <w:lang w:val="pt_PT" w:bidi="pt_PT"/>
        </w:rPr>
        <w:t>), e depois os descendentes do filho de Hezrom, Calebe (</w:t>
      </w:r>
      <w:hyperlink r:id="rId33">
        <w:r>
          <w:rPr>
            <w:lang w:val="pt_PT" w:bidi="pt_PT"/>
          </w:rPr>
          <w:rPr>
            <w:color w:val="0000EE"/>
            <w:u w:val="single"/>
          </w:rPr>
          <w:t>2.42–55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hyperlink r:id="rId37">
        <w:r>
          <w:rPr>
            <w:lang w:val="pt_PT" w:bidi="pt_PT"/>
          </w:rPr>
          <w:rPr>
            <w:color w:val="0000EE"/>
            <w:u w:val="single"/>
          </w:rPr>
          <w:t>1Sm 16.6–13</w:t>
        </w:r>
      </w:hyperlink>
      <w:r>
        <w:rPr>
          <w:lang w:val="pt_PT" w:bidi="pt_PT"/>
        </w:rPr>
        <w:t xml:space="preserve">; </w:t>
      </w:r>
      <w:hyperlink r:id="rId38">
        <w:r>
          <w:rPr>
            <w:lang w:val="pt_PT" w:bidi="pt_PT"/>
          </w:rPr>
          <w:rPr>
            <w:color w:val="0000EE"/>
            <w:u w:val="single"/>
          </w:rPr>
          <w:t>17.12</w:t>
        </w:r>
      </w:hyperlink>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hyperlink r:id="rId39">
        <w:r>
          <w:rPr>
            <w:lang w:val="pt_PT" w:bidi="pt_PT"/>
          </w:rPr>
          <w:rPr>
            <w:color w:val="0000EE"/>
            <w:u w:val="single"/>
          </w:rPr>
          <w:t>Êx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hyperlink r:id="rId40">
        <w:r>
          <w:rPr>
            <w:lang w:val="pt_PT" w:bidi="pt_PT"/>
          </w:rPr>
          <w:rPr>
            <w:color w:val="0000EE"/>
            <w:u w:val="single"/>
          </w:rPr>
          <w:t>Nm 32.39–42</w:t>
        </w:r>
      </w:hyperlink>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hyperlink r:id="rId41">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hyperlink r:id="rId42">
        <w:r>
          <w:rPr>
            <w:lang w:val="pt_PT" w:bidi="pt_PT"/>
          </w:rPr>
          <w:rPr>
            <w:color w:val="0000EE"/>
            <w:u w:val="single"/>
          </w:rPr>
          <w:t>2Sm 3.2–5</w:t>
        </w:r>
      </w:hyperlink>
      <w:r>
        <w:rPr>
          <w:lang w:val="pt_PT" w:bidi="pt_PT"/>
        </w:rPr>
        <w:t xml:space="preserve">; </w:t>
      </w:r>
      <w:hyperlink r:id="rId43">
        <w:r>
          <w:rPr>
            <w:lang w:val="pt_PT" w:bidi="pt_PT"/>
          </w:rPr>
          <w:rPr>
            <w:color w:val="0000EE"/>
            <w:u w:val="single"/>
          </w:rPr>
          <w:t>5.14–16</w:t>
        </w:r>
      </w:hyperlink>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hyperlink r:id="rId44">
        <w:r>
          <w:rPr>
            <w:lang w:val="pt_PT" w:bidi="pt_PT"/>
          </w:rPr>
          <w:rPr>
            <w:color w:val="0000EE"/>
            <w:u w:val="single"/>
          </w:rPr>
          <w:t>2.10–17</w:t>
        </w:r>
      </w:hyperlink>
      <w:r>
        <w:rPr>
          <w:lang w:val="pt_PT" w:bidi="pt_PT"/>
        </w:rPr>
        <w:t>), que incluía Davi como o sétimo filho de Jessé (</w:t>
      </w:r>
      <w:hyperlink r:id="rId45">
        <w:r>
          <w:rPr>
            <w:lang w:val="pt_PT" w:bidi="pt_PT"/>
          </w:rPr>
          <w:rPr>
            <w:color w:val="0000EE"/>
            <w:u w:val="single"/>
          </w:rPr>
          <w:t>2.15</w:t>
        </w:r>
      </w:hyperlink>
      <w:r>
        <w:rPr>
          <w:lang w:val="pt_PT" w:bidi="pt_PT"/>
        </w:rPr>
        <w:t>). A genealogia de Davi é dividida em três seções: os filhos de Davi (</w:t>
      </w:r>
      <w:hyperlink r:id="rId46">
        <w:r>
          <w:rPr>
            <w:lang w:val="pt_PT" w:bidi="pt_PT"/>
          </w:rPr>
          <w:rPr>
            <w:color w:val="0000EE"/>
            <w:u w:val="single"/>
          </w:rPr>
          <w:t>3.1–9</w:t>
        </w:r>
      </w:hyperlink>
      <w:r>
        <w:rPr>
          <w:lang w:val="pt_PT" w:bidi="pt_PT"/>
        </w:rPr>
        <w:t>); os reis de Judá até Jeoaquim e Zedequias (</w:t>
      </w:r>
      <w:hyperlink r:id="rId47">
        <w:r>
          <w:rPr>
            <w:lang w:val="pt_PT" w:bidi="pt_PT"/>
          </w:rPr>
          <w:rPr>
            <w:color w:val="0000EE"/>
            <w:u w:val="single"/>
          </w:rPr>
          <w:t>3.10–16</w:t>
        </w:r>
      </w:hyperlink>
      <w:r>
        <w:rPr>
          <w:lang w:val="pt_PT" w:bidi="pt_PT"/>
        </w:rPr>
        <w:t>), que foram exilados para Babilônia; e os descendentes de Jeoaquim até o tempo do Cronista (</w:t>
      </w:r>
      <w:hyperlink r:id="rId48">
        <w:r>
          <w:rPr>
            <w:lang w:val="pt_PT" w:bidi="pt_PT"/>
          </w:rPr>
          <w:rPr>
            <w:color w:val="0000EE"/>
            <w:u w:val="single"/>
          </w:rPr>
          <w:t>3.17–24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hyperlink r:id="rId49">
        <w:r>
          <w:rPr>
            <w:lang w:val="pt_PT" w:bidi="pt_PT"/>
          </w:rPr>
          <w:rPr>
            <w:color w:val="0000EE"/>
            <w:u w:val="single"/>
          </w:rPr>
          <w:t>2.1–55</w:t>
        </w:r>
      </w:hyperlink>
      <w:r>
        <w:rPr>
          <w:lang w:val="pt_PT" w:bidi="pt_PT"/>
        </w:rPr>
        <w:t>. A conexão com Hur</w:t>
      </w:r>
      <w:r>
        <w:rPr>
          <w:i/>
          <w:lang w:val="pt_PT" w:bidi="pt_PT"/>
        </w:rPr>
        <w:t>,</w:t>
      </w:r>
      <w:r>
        <w:rPr>
          <w:lang w:val="pt_PT" w:bidi="pt_PT"/>
        </w:rPr>
        <w:t xml:space="preserve"> o ancestral de Belém, é fornecida imediatamente (</w:t>
      </w:r>
      <w:hyperlink r:id="rId50">
        <w:r>
          <w:rPr>
            <w:lang w:val="pt_PT" w:bidi="pt_PT"/>
          </w:rPr>
          <w:rPr>
            <w:color w:val="0000EE"/>
            <w:u w:val="single"/>
          </w:rPr>
          <w:t>4.1–4</w:t>
        </w:r>
      </w:hyperlink>
      <w:r>
        <w:rPr>
          <w:lang w:val="pt_PT" w:bidi="pt_PT"/>
        </w:rPr>
        <w:t xml:space="preserve">; veja </w:t>
      </w:r>
      <w:hyperlink r:id="rId51">
        <w:r>
          <w:rPr>
            <w:lang w:val="pt_PT" w:bidi="pt_PT"/>
          </w:rPr>
          <w:rPr>
            <w:color w:val="0000EE"/>
            <w:u w:val="single"/>
          </w:rPr>
          <w:t>2.19–20</w:t>
        </w:r>
      </w:hyperlink>
      <w:r>
        <w:rPr>
          <w:lang w:val="pt_PT" w:bidi="pt_PT"/>
        </w:rPr>
        <w:t>,</w:t>
      </w:r>
      <w:hyperlink r:id="rId52">
        <w:r>
          <w:rPr>
            <w:lang w:val="pt_PT" w:bidi="pt_PT"/>
          </w:rPr>
          <w:rPr>
            <w:color w:val="0000EE"/>
            <w:u w:val="single"/>
          </w:rPr>
          <w:t>51–55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hyperlink r:id="rId53">
        <w:r>
          <w:rPr>
            <w:lang w:val="pt_PT" w:bidi="pt_PT"/>
          </w:rPr>
          <w:rPr>
            <w:color w:val="0000EE"/>
            <w:u w:val="single"/>
          </w:rPr>
          <w:t>2.55</w:t>
        </w:r>
      </w:hyperlink>
      <w:r>
        <w:rPr>
          <w:lang w:val="pt_PT" w:bidi="pt_PT"/>
        </w:rPr>
        <w:t>). Jabes aparentemente recebeu seu nome porque causou dor à sua mãe, um cumprimento da maldição sobre Eva (</w:t>
      </w:r>
      <w:hyperlink r:id="rId54">
        <w:r>
          <w:rPr>
            <w:lang w:val="pt_PT" w:bidi="pt_PT"/>
          </w:rPr>
          <w:rPr>
            <w:color w:val="0000EE"/>
            <w:u w:val="single"/>
          </w:rPr>
          <w:t>Gn 3.16</w:t>
        </w:r>
      </w:hyperlink>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hyperlink r:id="rId55">
        <w:r>
          <w:rPr>
            <w:lang w:val="pt_PT" w:bidi="pt_PT"/>
          </w:rPr>
          <w:rPr>
            <w:color w:val="0000EE"/>
            <w:u w:val="single"/>
          </w:rPr>
          <w:t>Gn 36.11</w:t>
        </w:r>
      </w:hyperlink>
      <w:r>
        <w:rPr>
          <w:lang w:val="pt_PT" w:bidi="pt_PT"/>
        </w:rPr>
        <w:t>); seus descendentes são conhecidos como os quenezeus. Os quenezeus viviam na parte sul da terra e tinham afiliações com Judá e Edom. Calebe, filho de Jefoné, era um quenezeu (</w:t>
      </w:r>
      <w:hyperlink r:id="rId56">
        <w:r>
          <w:rPr>
            <w:lang w:val="pt_PT" w:bidi="pt_PT"/>
          </w:rPr>
          <w:rPr>
            <w:color w:val="0000EE"/>
            <w:u w:val="single"/>
          </w:rPr>
          <w:t>Nm 32.12</w:t>
        </w:r>
      </w:hyperlink>
      <w:r>
        <w:rPr>
          <w:lang w:val="pt_PT" w:bidi="pt_PT"/>
        </w:rPr>
        <w:t xml:space="preserve">; </w:t>
      </w:r>
      <w:hyperlink r:id="rId57">
        <w:r>
          <w:rPr>
            <w:lang w:val="pt_PT" w:bidi="pt_PT"/>
          </w:rPr>
          <w:rPr>
            <w:color w:val="0000EE"/>
            <w:u w:val="single"/>
          </w:rPr>
          <w:t>Js 14.6</w:t>
        </w:r>
      </w:hyperlink>
      <w:r>
        <w:rPr>
          <w:lang w:val="pt_PT" w:bidi="pt_PT"/>
        </w:rPr>
        <w:t>) e tinha um irmão chamado Quenaz (</w:t>
      </w:r>
      <w:hyperlink r:id="rId58">
        <w:r>
          <w:rPr>
            <w:lang w:val="pt_PT" w:bidi="pt_PT"/>
          </w:rPr>
          <w:rPr>
            <w:color w:val="0000EE"/>
            <w:u w:val="single"/>
          </w:rPr>
          <w:t>Js 15.17</w:t>
        </w:r>
      </w:hyperlink>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hyperlink r:id="rId59">
        <w:r>
          <w:rPr>
            <w:lang w:val="pt_PT" w:bidi="pt_PT"/>
          </w:rPr>
          <w:rPr>
            <w:color w:val="0000EE"/>
            <w:u w:val="single"/>
          </w:rPr>
          <w:t>2.4–4.20</w:t>
        </w:r>
      </w:hyperlink>
      <w:r>
        <w:rPr>
          <w:lang w:val="pt_PT" w:bidi="pt_PT"/>
        </w:rPr>
        <w:t>), os descendentes de Selá</w:t>
      </w:r>
      <w:r>
        <w:rPr>
          <w:i/>
          <w:lang w:val="pt_PT" w:bidi="pt_PT"/>
        </w:rPr>
        <w:t>,</w:t>
      </w:r>
      <w:r>
        <w:rPr>
          <w:lang w:val="pt_PT" w:bidi="pt_PT"/>
        </w:rPr>
        <w:t xml:space="preserve"> o terceiro filho de Judá com a filha de Sua, são listados (veja </w:t>
      </w:r>
      <w:hyperlink r:id="rId60">
        <w:r>
          <w:rPr>
            <w:lang w:val="pt_PT" w:bidi="pt_PT"/>
          </w:rPr>
          <w:rPr>
            <w:color w:val="0000EE"/>
            <w:u w:val="single"/>
          </w:rPr>
          <w:t>2.3</w:t>
        </w:r>
      </w:hyperlink>
      <w:r>
        <w:rPr>
          <w:lang w:val="pt_PT" w:bidi="pt_PT"/>
        </w:rPr>
        <w:t xml:space="preserve">; </w:t>
      </w:r>
      <w:hyperlink r:id="rId61">
        <w:r>
          <w:rPr>
            <w:lang w:val="pt_PT" w:bidi="pt_PT"/>
          </w:rPr>
          <w:rPr>
            <w:color w:val="0000EE"/>
            <w:u w:val="single"/>
          </w:rPr>
          <w:t>Gn 38.2</w:t>
        </w:r>
      </w:hyperlink>
      <w:r>
        <w:rPr>
          <w:lang w:val="pt_PT" w:bidi="pt_PT"/>
        </w:rPr>
        <w:t>,</w:t>
      </w:r>
      <w:hyperlink r:id="rId6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hyperlink r:id="rId63">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hyperlink r:id="rId64">
        <w:r>
          <w:rPr>
            <w:lang w:val="pt_PT" w:bidi="pt_PT"/>
          </w:rPr>
          <w:rPr>
            <w:color w:val="0000EE"/>
            <w:u w:val="single"/>
          </w:rPr>
          <w:t>2.3–4.23</w:t>
        </w:r>
      </w:hyperlink>
      <w:r>
        <w:rPr>
          <w:lang w:val="pt_PT" w:bidi="pt_PT"/>
        </w:rPr>
        <w:t xml:space="preserve">), o Cronista volta-se para os registros do restante dos filhos de Israel (cp. </w:t>
      </w:r>
      <w:hyperlink r:id="rId29">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hyperlink r:id="rId65">
        <w:r>
          <w:rPr>
            <w:lang w:val="pt_PT" w:bidi="pt_PT"/>
          </w:rPr>
          <w:rPr>
            <w:color w:val="0000EE"/>
            <w:u w:val="single"/>
          </w:rPr>
          <w:t>4.34–38</w:t>
        </w:r>
      </w:hyperlink>
      <w:r>
        <w:rPr>
          <w:lang w:val="pt_PT" w:bidi="pt_PT"/>
        </w:rPr>
        <w:t>) introduz a descrição da expansão geográfica de Simeão (</w:t>
      </w:r>
      <w:hyperlink r:id="rId66">
        <w:r>
          <w:rPr>
            <w:lang w:val="pt_PT" w:bidi="pt_PT"/>
          </w:rPr>
          <w:rPr>
            <w:color w:val="0000EE"/>
            <w:u w:val="single"/>
          </w:rPr>
          <w:t>4.38–43</w:t>
        </w:r>
      </w:hyperlink>
      <w:r>
        <w:rPr>
          <w:lang w:val="pt_PT" w:bidi="pt_PT"/>
        </w:rPr>
        <w:t>). A expansão da tribo envolveu treze líderes familiares durante os dias de Ezequias (final dos anos 700 a.C.) na área de Gerar. Isso pode ter sido parte da ação militar de Ezequias contra os territórios filisteus (</w:t>
      </w:r>
      <w:hyperlink r:id="rId67">
        <w:r>
          <w:rPr>
            <w:lang w:val="pt_PT" w:bidi="pt_PT"/>
          </w:rPr>
          <w:rPr>
            <w:color w:val="0000EE"/>
            <w:u w:val="single"/>
          </w:rPr>
          <w:t>2Rs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hyperlink r:id="rId68">
        <w:r>
          <w:rPr>
            <w:lang w:val="pt_PT" w:bidi="pt_PT"/>
          </w:rPr>
          <w:rPr>
            <w:color w:val="0000EE"/>
            <w:u w:val="single"/>
          </w:rPr>
          <w:t>Gn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hyperlink r:id="rId69">
        <w:r>
          <w:rPr>
            <w:lang w:val="pt_PT" w:bidi="pt_PT"/>
          </w:rPr>
          <w:rPr>
            <w:color w:val="0000EE"/>
            <w:u w:val="single"/>
          </w:rPr>
          <w:t>Gn 35.22</w:t>
        </w:r>
      </w:hyperlink>
      <w:r>
        <w:rPr>
          <w:lang w:val="pt_PT" w:bidi="pt_PT"/>
        </w:rPr>
        <w:t>). Jacó transferiu esse direito para José quando elevou Efraim e Manassés à plena participação entre as tribos (</w:t>
      </w:r>
      <w:hyperlink r:id="rId70">
        <w:r>
          <w:rPr>
            <w:lang w:val="pt_PT" w:bidi="pt_PT"/>
          </w:rPr>
          <w:rPr>
            <w:color w:val="0000EE"/>
            <w:u w:val="single"/>
          </w:rPr>
          <w:t>Gn 48.5</w:t>
        </w:r>
      </w:hyperlink>
      <w:r>
        <w:rPr>
          <w:lang w:val="pt_PT" w:bidi="pt_PT"/>
        </w:rPr>
        <w:t>). Isso deu a José a porção dupla que tradicionalmente pertencia ao primogênito (</w:t>
      </w:r>
      <w:hyperlink r:id="rId71">
        <w:r>
          <w:rPr>
            <w:lang w:val="pt_PT" w:bidi="pt_PT"/>
          </w:rPr>
          <w:rPr>
            <w:color w:val="0000EE"/>
            <w:u w:val="single"/>
          </w:rPr>
          <w:t>Dt 21.15–17</w:t>
        </w:r>
      </w:hyperlink>
      <w:r>
        <w:rPr>
          <w:lang w:val="pt_PT" w:bidi="pt_PT"/>
        </w:rPr>
        <w:t>). Como Jacó previu, Judá superou seus irmãos e tornou-se o antepassado da tribo governante (</w:t>
      </w:r>
      <w:hyperlink r:id="rId72">
        <w:r>
          <w:rPr>
            <w:lang w:val="pt_PT" w:bidi="pt_PT"/>
          </w:rPr>
          <w:rPr>
            <w:color w:val="0000EE"/>
            <w:u w:val="single"/>
          </w:rPr>
          <w:t>Gn 49.8–10</w:t>
        </w:r>
      </w:hyperlink>
      <w:r>
        <w:rPr>
          <w:lang w:val="pt_PT" w:bidi="pt_PT"/>
        </w:rPr>
        <w:t>). No entanto, Rúben ainda é listado primeiro (</w:t>
      </w:r>
      <w:hyperlink r:id="rId73">
        <w:r>
          <w:rPr>
            <w:lang w:val="pt_PT" w:bidi="pt_PT"/>
          </w:rPr>
          <w:rPr>
            <w:color w:val="0000EE"/>
            <w:u w:val="single"/>
          </w:rPr>
          <w:t>1Cr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hyperlink r:id="rId74">
        <w:r>
          <w:rPr>
            <w:lang w:val="pt_PT" w:bidi="pt_PT"/>
          </w:rPr>
          <w:rPr>
            <w:color w:val="0000EE"/>
            <w:u w:val="single"/>
          </w:rPr>
          <w:t>5.1–10</w:t>
        </w:r>
      </w:hyperlink>
      <w:r>
        <w:rPr>
          <w:lang w:val="pt_PT" w:bidi="pt_PT"/>
        </w:rPr>
        <w:t xml:space="preserve">; cp. </w:t>
      </w:r>
      <w:hyperlink r:id="rId75">
        <w:r>
          <w:rPr>
            <w:lang w:val="pt_PT" w:bidi="pt_PT"/>
          </w:rPr>
          <w:rPr>
            <w:color w:val="0000EE"/>
            <w:u w:val="single"/>
          </w:rPr>
          <w:t>Gn 46.9</w:t>
        </w:r>
      </w:hyperlink>
      <w:r>
        <w:rPr>
          <w:lang w:val="pt_PT" w:bidi="pt_PT"/>
        </w:rPr>
        <w:t>), Gade (</w:t>
      </w:r>
      <w:hyperlink r:id="rId76">
        <w:r>
          <w:rPr>
            <w:lang w:val="pt_PT" w:bidi="pt_PT"/>
          </w:rPr>
          <w:rPr>
            <w:color w:val="0000EE"/>
            <w:u w:val="single"/>
          </w:rPr>
          <w:t>1Cr 5.11–17</w:t>
        </w:r>
      </w:hyperlink>
      <w:r>
        <w:rPr>
          <w:lang w:val="pt_PT" w:bidi="pt_PT"/>
        </w:rPr>
        <w:t>), e Manassés (</w:t>
      </w:r>
      <w:hyperlink r:id="rId77">
        <w:r>
          <w:rPr>
            <w:lang w:val="pt_PT" w:bidi="pt_PT"/>
          </w:rPr>
          <w:rPr>
            <w:color w:val="0000EE"/>
            <w:u w:val="single"/>
          </w:rPr>
          <w:t>5.23–24</w:t>
        </w:r>
      </w:hyperlink>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hyperlink r:id="rId75">
        <w:r>
          <w:rPr>
            <w:lang w:val="pt_PT" w:bidi="pt_PT"/>
          </w:rPr>
          <w:rPr>
            <w:color w:val="0000EE"/>
            <w:u w:val="single"/>
          </w:rPr>
          <w:t>Gn 46.9</w:t>
        </w:r>
      </w:hyperlink>
      <w:r>
        <w:rPr>
          <w:lang w:val="pt_PT" w:bidi="pt_PT"/>
        </w:rPr>
        <w:t xml:space="preserve">; </w:t>
      </w:r>
      <w:hyperlink r:id="rId78">
        <w:r>
          <w:rPr>
            <w:lang w:val="pt_PT" w:bidi="pt_PT"/>
          </w:rPr>
          <w:rPr>
            <w:color w:val="0000EE"/>
            <w:u w:val="single"/>
          </w:rPr>
          <w:t>Êx 6.14</w:t>
        </w:r>
      </w:hyperlink>
      <w:r>
        <w:rPr>
          <w:lang w:val="pt_PT" w:bidi="pt_PT"/>
        </w:rPr>
        <w:t xml:space="preserve">; </w:t>
      </w:r>
      <w:hyperlink r:id="rId79">
        <w:r>
          <w:rPr>
            <w:lang w:val="pt_PT" w:bidi="pt_PT"/>
          </w:rPr>
          <w:rPr>
            <w:color w:val="0000EE"/>
            <w:u w:val="single"/>
          </w:rPr>
          <w:t>Nm 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hyperlink r:id="rId80">
        <w:r>
          <w:rPr>
            <w:lang w:val="pt_PT" w:bidi="pt_PT"/>
          </w:rPr>
          <w:rPr>
            <w:color w:val="0000EE"/>
            <w:u w:val="single"/>
          </w:rPr>
          <w:t>5.25–26</w:t>
        </w:r>
      </w:hyperlink>
      <w:r>
        <w:rPr>
          <w:lang w:val="pt_PT" w:bidi="pt_PT"/>
        </w:rPr>
        <w:t xml:space="preserve">; </w:t>
      </w:r>
      <w:hyperlink r:id="rId81">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hyperlink r:id="rId82">
        <w:r>
          <w:rPr>
            <w:lang w:val="pt_PT" w:bidi="pt_PT"/>
          </w:rPr>
          <w:rPr>
            <w:color w:val="0000EE"/>
            <w:u w:val="single"/>
          </w:rPr>
          <w:t>5.18–22</w:t>
        </w:r>
      </w:hyperlink>
      <w:r>
        <w:rPr>
          <w:lang w:val="pt_PT" w:bidi="pt_PT"/>
        </w:rPr>
        <w:t xml:space="preserve">; </w:t>
      </w:r>
      <w:hyperlink r:id="rId83">
        <w:r>
          <w:rPr>
            <w:lang w:val="pt_PT" w:bidi="pt_PT"/>
          </w:rPr>
          <w:rPr>
            <w:color w:val="0000EE"/>
            <w:u w:val="single"/>
          </w:rPr>
          <w:t>Sl 83.6</w:t>
        </w:r>
      </w:hyperlink>
      <w:r>
        <w:rPr>
          <w:lang w:val="pt_PT" w:bidi="pt_PT"/>
        </w:rPr>
        <w:t xml:space="preserve">). Mais tarde, os hagaritas estavam entre os homens de Davi (veja </w:t>
      </w:r>
      <w:hyperlink r:id="rId84">
        <w:r>
          <w:rPr>
            <w:lang w:val="pt_PT" w:bidi="pt_PT"/>
          </w:rPr>
          <w:rPr>
            <w:color w:val="0000EE"/>
            <w:u w:val="single"/>
          </w:rPr>
          <w:t>1Cr 11.38</w:t>
        </w:r>
      </w:hyperlink>
      <w:r>
        <w:rPr>
          <w:lang w:val="pt_PT" w:bidi="pt_PT"/>
        </w:rPr>
        <w:t xml:space="preserve">; </w:t>
      </w:r>
      <w:hyperlink r:id="rId85">
        <w:r>
          <w:rPr>
            <w:lang w:val="pt_PT" w:bidi="pt_PT"/>
          </w:rPr>
          <w:rPr>
            <w:color w:val="0000EE"/>
            <w:u w:val="single"/>
          </w:rPr>
          <w:t>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hyperlink r:id="rId86">
        <w:r>
          <w:rPr>
            <w:lang w:val="pt_PT" w:bidi="pt_PT"/>
          </w:rPr>
          <w:rPr>
            <w:color w:val="0000EE"/>
            <w:u w:val="single"/>
          </w:rPr>
          <w:t>5.10</w:t>
        </w:r>
      </w:hyperlink>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hyperlink r:id="rId87">
        <w:r>
          <w:rPr>
            <w:lang w:val="pt_PT" w:bidi="pt_PT"/>
          </w:rPr>
          <w:rPr>
            <w:color w:val="0000EE"/>
            <w:u w:val="single"/>
          </w:rPr>
          <w:t>6.1–15</w:t>
        </w:r>
      </w:hyperlink>
      <w:r>
        <w:rPr>
          <w:lang w:val="pt_PT" w:bidi="pt_PT"/>
        </w:rPr>
        <w:t>), os três clãs de levitas (</w:t>
      </w:r>
      <w:hyperlink r:id="rId88">
        <w:r>
          <w:rPr>
            <w:lang w:val="pt_PT" w:bidi="pt_PT"/>
          </w:rPr>
          <w:rPr>
            <w:color w:val="0000EE"/>
            <w:u w:val="single"/>
          </w:rPr>
          <w:t>6.16–30</w:t>
        </w:r>
      </w:hyperlink>
      <w:r>
        <w:rPr>
          <w:lang w:val="pt_PT" w:bidi="pt_PT"/>
        </w:rPr>
        <w:t>) e os cantores (</w:t>
      </w:r>
      <w:hyperlink r:id="rId89">
        <w:r>
          <w:rPr>
            <w:lang w:val="pt_PT" w:bidi="pt_PT"/>
          </w:rPr>
          <w:rPr>
            <w:color w:val="0000EE"/>
            <w:u w:val="single"/>
          </w:rPr>
          <w:t>6.31–47</w:t>
        </w:r>
      </w:hyperlink>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0">
        <w:r>
          <w:rPr>
            <w:lang w:val="pt_PT" w:bidi="pt_PT"/>
          </w:rPr>
          <w:rPr>
            <w:color w:val="0000EE"/>
            <w:u w:val="single"/>
          </w:rPr>
          <w:t>Ed 3.2</w:t>
        </w:r>
      </w:hyperlink>
      <w:r>
        <w:rPr>
          <w:lang w:val="pt_PT" w:bidi="pt_PT"/>
        </w:rPr>
        <w:t xml:space="preserve">; </w:t>
      </w:r>
      <w:hyperlink r:id="rId91">
        <w:r>
          <w:rPr>
            <w:lang w:val="pt_PT" w:bidi="pt_PT"/>
          </w:rPr>
          <w:rPr>
            <w:color w:val="0000EE"/>
            <w:u w:val="single"/>
          </w:rPr>
          <w:t>7.1–6</w:t>
        </w:r>
      </w:hyperlink>
      <w:r>
        <w:rPr>
          <w:lang w:val="pt_PT" w:bidi="pt_PT"/>
        </w:rPr>
        <w:t xml:space="preserve">; </w:t>
      </w:r>
      <w:hyperlink r:id="rId92">
        <w:r>
          <w:rPr>
            <w:lang w:val="pt_PT" w:bidi="pt_PT"/>
          </w:rPr>
          <w:rPr>
            <w:color w:val="0000EE"/>
            <w:u w:val="single"/>
          </w:rPr>
          <w:t>Ag 1.1</w:t>
        </w:r>
      </w:hyperlink>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hyperlink r:id="rId93">
        <w:r>
          <w:rPr>
            <w:lang w:val="pt_PT" w:bidi="pt_PT"/>
          </w:rPr>
          <w:rPr>
            <w:color w:val="0000EE"/>
            <w:u w:val="single"/>
          </w:rPr>
          <w:t>6.9</w:t>
        </w:r>
      </w:hyperlink>
      <w:r>
        <w:rPr>
          <w:lang w:val="pt_PT" w:bidi="pt_PT"/>
        </w:rPr>
        <w:t xml:space="preserve"> (conectado ao primeiro Azarias), mas que a ordem foi transposta por um erro de escriba. Fazer essa correção resulta em 12 gerações entre Arão e a construção do Templo, o que está de acordo com a data em </w:t>
      </w:r>
      <w:hyperlink r:id="rId94">
        <w:r>
          <w:rPr>
            <w:lang w:val="pt_PT" w:bidi="pt_PT"/>
          </w:rPr>
          <w:rPr>
            <w:color w:val="0000EE"/>
            <w:u w:val="single"/>
          </w:rPr>
          <w:t>1Rs 6.1</w:t>
        </w:r>
      </w:hyperlink>
      <w:r>
        <w:rPr>
          <w:lang w:val="pt_PT" w:bidi="pt_PT"/>
        </w:rPr>
        <w:t xml:space="preserve"> (480 anos é o equivalente a 12 gerações de 40 anos cada na tipologia numérica). A correção também resulta em 12 gerações entre a construção do Templo sob Azarias e a reconstrução do Templo sob Josué (</w:t>
      </w:r>
      <w:hyperlink r:id="rId9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hyperlink r:id="rId95">
        <w:r>
          <w:rPr>
            <w:lang w:val="pt_PT" w:bidi="pt_PT"/>
          </w:rPr>
          <w:rPr>
            <w:color w:val="0000EE"/>
            <w:u w:val="single"/>
          </w:rPr>
          <w:t>6.16–19a</w:t>
        </w:r>
      </w:hyperlink>
      <w:r>
        <w:rPr>
          <w:lang w:val="pt_PT" w:bidi="pt_PT"/>
        </w:rPr>
        <w:t>) apresenta os chefes de todas as famílias levíticas (</w:t>
      </w:r>
      <w:hyperlink r:id="rId96">
        <w:r>
          <w:rPr>
            <w:lang w:val="pt_PT" w:bidi="pt_PT"/>
          </w:rPr>
          <w:rPr>
            <w:color w:val="0000EE"/>
            <w:u w:val="single"/>
          </w:rPr>
          <w:t>6.19b-30</w:t>
        </w:r>
      </w:hyperlink>
      <w:r>
        <w:rPr>
          <w:lang w:val="pt_PT" w:bidi="pt_PT"/>
        </w:rPr>
        <w:t>). A lista contém as genealogias de Gérson (</w:t>
      </w:r>
      <w:hyperlink r:id="rId97">
        <w:r>
          <w:rPr>
            <w:lang w:val="pt_PT" w:bidi="pt_PT"/>
          </w:rPr>
          <w:rPr>
            <w:color w:val="0000EE"/>
            <w:u w:val="single"/>
          </w:rPr>
          <w:t>6.20–21</w:t>
        </w:r>
      </w:hyperlink>
      <w:r>
        <w:rPr>
          <w:lang w:val="pt_PT" w:bidi="pt_PT"/>
        </w:rPr>
        <w:t>), Coate (</w:t>
      </w:r>
      <w:hyperlink r:id="rId98">
        <w:r>
          <w:rPr>
            <w:lang w:val="pt_PT" w:bidi="pt_PT"/>
          </w:rPr>
          <w:rPr>
            <w:color w:val="0000EE"/>
            <w:u w:val="single"/>
          </w:rPr>
          <w:t>6.22–24</w:t>
        </w:r>
      </w:hyperlink>
      <w:r>
        <w:rPr>
          <w:lang w:val="pt_PT" w:bidi="pt_PT"/>
        </w:rPr>
        <w:t>) e Merari (</w:t>
      </w:r>
      <w:hyperlink r:id="rId99">
        <w:r>
          <w:rPr>
            <w:lang w:val="pt_PT" w:bidi="pt_PT"/>
          </w:rPr>
          <w:rPr>
            <w:color w:val="0000EE"/>
            <w:u w:val="single"/>
          </w:rPr>
          <w:t>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hyperlink r:id="rId100">
        <w:r>
          <w:rPr>
            <w:lang w:val="pt_PT" w:bidi="pt_PT"/>
          </w:rPr>
          <w:rPr>
            <w:color w:val="0000EE"/>
            <w:u w:val="single"/>
          </w:rPr>
          <w:t>1Sm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hyperlink r:id="rId101">
        <w:r>
          <w:rPr>
            <w:lang w:val="pt_PT" w:bidi="pt_PT"/>
          </w:rPr>
          <w:rPr>
            <w:color w:val="0000EE"/>
            <w:u w:val="single"/>
          </w:rPr>
          <w:t>6.33</w:t>
        </w:r>
      </w:hyperlink>
      <w:r>
        <w:rPr>
          <w:lang w:val="pt_PT" w:bidi="pt_PT"/>
        </w:rPr>
        <w:t>), Gérson (</w:t>
      </w:r>
      <w:hyperlink r:id="rId102">
        <w:r>
          <w:rPr>
            <w:lang w:val="pt_PT" w:bidi="pt_PT"/>
          </w:rPr>
          <w:rPr>
            <w:color w:val="0000EE"/>
            <w:u w:val="single"/>
          </w:rPr>
          <w:t>6.39</w:t>
        </w:r>
      </w:hyperlink>
      <w:r>
        <w:rPr>
          <w:lang w:val="pt_PT" w:bidi="pt_PT"/>
        </w:rPr>
        <w:t>) e Merari (</w:t>
      </w:r>
      <w:hyperlink r:id="rId103">
        <w:r>
          <w:rPr>
            <w:lang w:val="pt_PT" w:bidi="pt_PT"/>
          </w:rPr>
          <w:rPr>
            <w:color w:val="0000EE"/>
            <w:u w:val="single"/>
          </w:rPr>
          <w:t>6.44</w:t>
        </w:r>
      </w:hyperlink>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hyperlink r:id="rId104">
        <w:r>
          <w:rPr>
            <w:lang w:val="pt_PT" w:bidi="pt_PT"/>
          </w:rPr>
          <w:rPr>
            <w:color w:val="0000EE"/>
            <w:u w:val="single"/>
          </w:rPr>
          <w:t>Sl 88: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hyperlink r:id="rId105">
        <w:r>
          <w:rPr>
            <w:lang w:val="pt_PT" w:bidi="pt_PT"/>
          </w:rPr>
          <w:rPr>
            <w:color w:val="0000EE"/>
            <w:u w:val="single"/>
          </w:rPr>
          <w:t>Sl 50</w:t>
        </w:r>
      </w:hyperlink>
      <w:r>
        <w:rPr>
          <w:lang w:val="pt_PT" w:bidi="pt_PT"/>
        </w:rPr>
        <w:t xml:space="preserve">; </w:t>
      </w:r>
      <w:hyperlink r:id="rId106">
        <w:r>
          <w:rPr>
            <w:lang w:val="pt_PT" w:bidi="pt_PT"/>
          </w:rPr>
          <w:rPr>
            <w:color w:val="0000EE"/>
            <w:u w:val="single"/>
          </w:rPr>
          <w:t>73–83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hyperlink r:id="rId107">
        <w:r>
          <w:rPr>
            <w:lang w:val="pt_PT" w:bidi="pt_PT"/>
          </w:rPr>
          <w:rPr>
            <w:color w:val="0000EE"/>
            <w:u w:val="single"/>
          </w:rPr>
          <w:t>6.54–81</w:t>
        </w:r>
      </w:hyperlink>
      <w:r>
        <w:rPr>
          <w:lang w:val="pt_PT" w:bidi="pt_PT"/>
        </w:rPr>
        <w:t>). A lista vai até o tempo de Davi, quando Aimaás serviu (</w:t>
      </w:r>
      <w:hyperlink r:id="rId108">
        <w:r>
          <w:rPr>
            <w:lang w:val="pt_PT" w:bidi="pt_PT"/>
          </w:rPr>
          <w:rPr>
            <w:color w:val="0000EE"/>
            <w:u w:val="single"/>
          </w:rPr>
          <w:t>2Sm 15.36</w:t>
        </w:r>
      </w:hyperlink>
      <w:r>
        <w:rPr>
          <w:lang w:val="pt_PT" w:bidi="pt_PT"/>
        </w:rPr>
        <w:t xml:space="preserve">; </w:t>
      </w:r>
      <w:hyperlink r:id="rId109">
        <w:r>
          <w:rPr>
            <w:lang w:val="pt_PT" w:bidi="pt_PT"/>
          </w:rPr>
          <w:rPr>
            <w:color w:val="0000EE"/>
            <w:u w:val="single"/>
          </w:rPr>
          <w:t>17.17–29</w:t>
        </w:r>
      </w:hyperlink>
      <w:r>
        <w:rPr>
          <w:lang w:val="pt_PT" w:bidi="pt_PT"/>
        </w:rPr>
        <w:t xml:space="preserve">; </w:t>
      </w:r>
      <w:hyperlink r:id="rId110">
        <w:r>
          <w:rPr>
            <w:lang w:val="pt_PT" w:bidi="pt_PT"/>
          </w:rPr>
          <w:rPr>
            <w:color w:val="0000EE"/>
            <w:u w:val="single"/>
          </w:rPr>
          <w:t>18.19–29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hyperlink r:id="rId111">
        <w:r>
          <w:rPr>
            <w:lang w:val="pt_PT" w:bidi="pt_PT"/>
          </w:rPr>
          <w:rPr>
            <w:color w:val="0000EE"/>
            <w:u w:val="single"/>
          </w:rPr>
          <w:t>Js 21</w:t>
        </w:r>
      </w:hyperlink>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hyperlink r:id="rId112">
        <w:r>
          <w:rPr>
            <w:lang w:val="pt_PT" w:bidi="pt_PT"/>
          </w:rPr>
          <w:rPr>
            <w:color w:val="0000EE"/>
            <w:u w:val="single"/>
          </w:rPr>
          <w:t>8.8</w:t>
        </w:r>
      </w:hyperlink>
      <w:r>
        <w:rPr>
          <w:lang w:val="pt_PT" w:bidi="pt_PT"/>
        </w:rPr>
        <w:t>,</w:t>
      </w:r>
      <w:hyperlink r:id="rId113">
        <w:r>
          <w:rPr>
            <w:lang w:val="pt_PT" w:bidi="pt_PT"/>
          </w:rPr>
          <w:rPr>
            <w:color w:val="0000EE"/>
            <w:u w:val="single"/>
          </w:rPr>
          <w:t>11</w:t>
        </w:r>
      </w:hyperlink>
      <w:r>
        <w:rPr>
          <w:lang w:val="pt_PT" w:bidi="pt_PT"/>
        </w:rPr>
        <w:t xml:space="preserve">; </w:t>
      </w:r>
      <w:hyperlink r:id="rId114">
        <w:r>
          <w:rPr>
            <w:lang w:val="pt_PT" w:bidi="pt_PT"/>
          </w:rPr>
          <w:rPr>
            <w:color w:val="0000EE"/>
            <w:u w:val="single"/>
          </w:rPr>
          <w:t>Gn 46.21</w:t>
        </w:r>
      </w:hyperlink>
      <w:r>
        <w:rPr>
          <w:lang w:val="pt_PT" w:bidi="pt_PT"/>
        </w:rPr>
        <w:t xml:space="preserve">; </w:t>
      </w:r>
      <w:hyperlink r:id="rId115">
        <w:r>
          <w:rPr>
            <w:lang w:val="pt_PT" w:bidi="pt_PT"/>
          </w:rPr>
          <w:rPr>
            <w:color w:val="0000EE"/>
            <w:u w:val="single"/>
          </w:rPr>
          <w:t>Nm 26.39</w:t>
        </w:r>
      </w:hyperlink>
      <w:r>
        <w:rPr>
          <w:lang w:val="pt_PT" w:bidi="pt_PT"/>
        </w:rPr>
        <w:t xml:space="preserve">). Se o texto hebraico foi de fato danificado, Husim pode ser um descendente de Dã (cp. </w:t>
      </w:r>
      <w:hyperlink r:id="rId116">
        <w:r>
          <w:rPr>
            <w:lang w:val="pt_PT" w:bidi="pt_PT"/>
          </w:rPr>
          <w:rPr>
            <w:color w:val="0000EE"/>
            <w:u w:val="single"/>
          </w:rPr>
          <w:t>Gn 46.23</w:t>
        </w:r>
      </w:hyperlink>
      <w:r>
        <w:rPr>
          <w:lang w:val="pt_PT" w:bidi="pt_PT"/>
        </w:rPr>
        <w:t xml:space="preserve">; </w:t>
      </w:r>
      <w:hyperlink r:id="rId117">
        <w:r>
          <w:rPr>
            <w:lang w:val="pt_PT" w:bidi="pt_PT"/>
          </w:rPr>
          <w:rPr>
            <w:color w:val="0000EE"/>
            <w:u w:val="single"/>
          </w:rPr>
          <w:t>Nm 26.42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hyperlink r:id="rId118">
        <w:r>
          <w:rPr>
            <w:lang w:val="pt_PT" w:bidi="pt_PT"/>
          </w:rPr>
          <w:rPr>
            <w:color w:val="0000EE"/>
            <w:u w:val="single"/>
          </w:rPr>
          <w:t>Gn 46.24</w:t>
        </w:r>
      </w:hyperlink>
      <w:r>
        <w:rPr>
          <w:lang w:val="pt_PT" w:bidi="pt_PT"/>
        </w:rPr>
        <w:t xml:space="preserve">; </w:t>
      </w:r>
      <w:hyperlink r:id="rId119">
        <w:r>
          <w:rPr>
            <w:lang w:val="pt_PT" w:bidi="pt_PT"/>
          </w:rPr>
          <w:rPr>
            <w:color w:val="0000EE"/>
            <w:u w:val="single"/>
          </w:rPr>
          <w:t>Nm 26.48–50</w:t>
        </w:r>
      </w:hyperlink>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1">
        <w:r>
          <w:rPr>
            <w:lang w:val="pt_PT" w:bidi="pt_PT"/>
          </w:rPr>
          <w:rPr>
            <w:color w:val="0000EE"/>
            <w:u w:val="single"/>
          </w:rPr>
          <w:t>2Rs 15.29</w:t>
        </w:r>
      </w:hyperlink>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hyperlink r:id="rId120">
        <w:r>
          <w:rPr>
            <w:lang w:val="pt_PT" w:bidi="pt_PT"/>
          </w:rPr>
          <w:rPr>
            <w:color w:val="0000EE"/>
            <w:u w:val="single"/>
          </w:rPr>
          <w:t>7.15–16</w:t>
        </w:r>
      </w:hyperlink>
      <w:r>
        <w:rPr>
          <w:lang w:val="pt_PT" w:bidi="pt_PT"/>
        </w:rPr>
        <w:t>); (2) Hupim e Supim foram listados anteriormente com Benjamim (</w:t>
      </w:r>
      <w:hyperlink r:id="rId121">
        <w:r>
          <w:rPr>
            <w:lang w:val="pt_PT" w:bidi="pt_PT"/>
          </w:rPr>
          <w:rPr>
            <w:color w:val="0000EE"/>
            <w:u w:val="single"/>
          </w:rPr>
          <w:t>7.12</w:t>
        </w:r>
      </w:hyperlink>
      <w:r>
        <w:rPr>
          <w:lang w:val="pt_PT" w:bidi="pt_PT"/>
        </w:rPr>
        <w:t>), não com Manassés; (3) Aqueles considerados gileaditas (</w:t>
      </w:r>
      <w:hyperlink r:id="rId122">
        <w:r>
          <w:rPr>
            <w:lang w:val="pt_PT" w:bidi="pt_PT"/>
          </w:rPr>
          <w:rPr>
            <w:color w:val="0000EE"/>
            <w:u w:val="single"/>
          </w:rPr>
          <w:t>7.16–17</w:t>
        </w:r>
      </w:hyperlink>
      <w:r>
        <w:rPr>
          <w:lang w:val="pt_PT" w:bidi="pt_PT"/>
        </w:rPr>
        <w:t>) estão de forma um tanto ambígua ligados a Gileade</w:t>
      </w:r>
      <w:r>
        <w:rPr>
          <w:i/>
          <w:lang w:val="pt_PT" w:bidi="pt_PT"/>
        </w:rPr>
        <w:t>,</w:t>
      </w:r>
      <w:r>
        <w:rPr>
          <w:lang w:val="pt_PT" w:bidi="pt_PT"/>
        </w:rPr>
        <w:t xml:space="preserve"> cujos descendentes diretos não são listados (cp. </w:t>
      </w:r>
      <w:hyperlink r:id="rId123">
        <w:r>
          <w:rPr>
            <w:lang w:val="pt_PT" w:bidi="pt_PT"/>
          </w:rPr>
          <w:rPr>
            <w:color w:val="0000EE"/>
            <w:u w:val="single"/>
          </w:rPr>
          <w:t>Nm 26.30–33</w:t>
        </w:r>
      </w:hyperlink>
      <w:r>
        <w:rPr>
          <w:lang w:val="pt_PT" w:bidi="pt_PT"/>
        </w:rPr>
        <w:t>); (4) Os filhos de Semida não estão conectados à genealogia (</w:t>
      </w:r>
      <w:hyperlink r:id="rId124">
        <w:r>
          <w:rPr>
            <w:lang w:val="pt_PT" w:bidi="pt_PT"/>
          </w:rPr>
          <w:rPr>
            <w:color w:val="0000EE"/>
            <w:u w:val="single"/>
          </w:rPr>
          <w:t>1Cr 7.19</w:t>
        </w:r>
      </w:hyperlink>
      <w:r>
        <w:rPr>
          <w:lang w:val="pt_PT" w:bidi="pt_PT"/>
        </w:rPr>
        <w:t>); Semida era um dos descendentes de Gileade (</w:t>
      </w:r>
      <w:hyperlink r:id="rId125">
        <w:r>
          <w:rPr>
            <w:lang w:val="pt_PT" w:bidi="pt_PT"/>
          </w:rPr>
          <w:rPr>
            <w:color w:val="0000EE"/>
            <w:u w:val="single"/>
          </w:rPr>
          <w:t>Nm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hyperlink r:id="rId126">
        <w:r>
          <w:rPr>
            <w:lang w:val="pt_PT" w:bidi="pt_PT"/>
          </w:rPr>
          <w:rPr>
            <w:color w:val="0000EE"/>
            <w:u w:val="single"/>
          </w:rPr>
          <w:t>7.21–24</w:t>
        </w:r>
      </w:hyperlink>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hyperlink r:id="rId127">
        <w:r>
          <w:rPr>
            <w:lang w:val="pt_PT" w:bidi="pt_PT"/>
          </w:rPr>
          <w:rPr>
            <w:color w:val="0000EE"/>
            <w:u w:val="single"/>
          </w:rPr>
          <w:t>8.3</w:t>
        </w:r>
      </w:hyperlink>
      <w:r>
        <w:rPr>
          <w:lang w:val="pt_PT" w:bidi="pt_PT"/>
        </w:rPr>
        <w:t>,</w:t>
      </w:r>
      <w:hyperlink r:id="rId128">
        <w:r>
          <w:rPr>
            <w:lang w:val="pt_PT" w:bidi="pt_PT"/>
          </w:rPr>
          <w:rPr>
            <w:color w:val="0000EE"/>
            <w:u w:val="single"/>
          </w:rPr>
          <w:t>5</w:t>
        </w:r>
      </w:hyperlink>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hyperlink r:id="rId129">
        <w:r>
          <w:rPr>
            <w:lang w:val="pt_PT" w:bidi="pt_PT"/>
          </w:rPr>
          <w:rPr>
            <w:color w:val="0000EE"/>
            <w:u w:val="single"/>
          </w:rPr>
          <w:t>8.6–7</w:t>
        </w:r>
      </w:hyperlink>
      <w:r>
        <w:rPr>
          <w:lang w:val="pt_PT" w:bidi="pt_PT"/>
        </w:rPr>
        <w:t>) e Saaraim (</w:t>
      </w:r>
      <w:hyperlink r:id="rId130">
        <w:r>
          <w:rPr>
            <w:lang w:val="pt_PT" w:bidi="pt_PT"/>
          </w:rPr>
          <w:rPr>
            <w:color w:val="0000EE"/>
            <w:u w:val="single"/>
          </w:rPr>
          <w:t>8.8–28</w:t>
        </w:r>
      </w:hyperlink>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hyperlink r:id="rId131">
        <w:r>
          <w:rPr>
            <w:lang w:val="pt_PT" w:bidi="pt_PT"/>
          </w:rPr>
          <w:rPr>
            <w:color w:val="0000EE"/>
            <w:u w:val="single"/>
          </w:rPr>
          <w:t>1Cr 8.38–40</w:t>
        </w:r>
      </w:hyperlink>
      <w:r>
        <w:rPr>
          <w:lang w:val="pt_PT" w:bidi="pt_PT"/>
        </w:rPr>
        <w:t>). Miquéias (</w:t>
      </w:r>
      <w:hyperlink r:id="rId132">
        <w:r>
          <w:rPr>
            <w:lang w:val="pt_PT" w:bidi="pt_PT"/>
          </w:rPr>
          <w:rPr>
            <w:color w:val="0000EE"/>
            <w:u w:val="single"/>
          </w:rPr>
          <w:t>8.35</w:t>
        </w:r>
      </w:hyperlink>
      <w:r>
        <w:rPr>
          <w:lang w:val="pt_PT" w:bidi="pt_PT"/>
        </w:rPr>
        <w:t>) viveu na época de Salomão, e Ulão (</w:t>
      </w:r>
      <w:hyperlink r:id="rId133">
        <w:r>
          <w:rPr>
            <w:lang w:val="pt_PT" w:bidi="pt_PT"/>
          </w:rPr>
          <w:rPr>
            <w:color w:val="0000EE"/>
            <w:u w:val="single"/>
          </w:rPr>
          <w:t>8.39</w:t>
        </w:r>
      </w:hyperlink>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hyperlink r:id="rId80">
        <w:r>
          <w:rPr>
            <w:lang w:val="pt_PT" w:bidi="pt_PT"/>
          </w:rPr>
          <w:rPr>
            <w:color w:val="0000EE"/>
            <w:u w:val="single"/>
          </w:rPr>
          <w:t>1Cr 5.25–26</w:t>
        </w:r>
      </w:hyperlink>
      <w:r>
        <w:rPr>
          <w:lang w:val="pt_PT" w:bidi="pt_PT"/>
        </w:rPr>
        <w:t xml:space="preserve">; </w:t>
      </w:r>
      <w:hyperlink r:id="rId134">
        <w:r>
          <w:rPr>
            <w:lang w:val="pt_PT" w:bidi="pt_PT"/>
          </w:rPr>
          <w:rPr>
            <w:color w:val="0000EE"/>
            <w:u w:val="single"/>
          </w:rPr>
          <w:t>6.15</w:t>
        </w:r>
      </w:hyperlink>
      <w:r>
        <w:rPr>
          <w:lang w:val="pt_PT" w:bidi="pt_PT"/>
        </w:rPr>
        <w:t xml:space="preserve">; veja </w:t>
      </w:r>
      <w:hyperlink r:id="rId135">
        <w:r>
          <w:rPr>
            <w:lang w:val="pt_PT" w:bidi="pt_PT"/>
          </w:rPr>
          <w:rPr>
            <w:color w:val="0000EE"/>
            <w:u w:val="single"/>
          </w:rPr>
          <w:t>2Cr 36.20–21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6">
        <w:r>
          <w:rPr>
            <w:lang w:val="pt_PT" w:bidi="pt_PT"/>
          </w:rPr>
          <w:rPr>
            <w:color w:val="0000EE"/>
            <w:u w:val="single"/>
          </w:rPr>
          <w:t>9.19–22</w:t>
        </w:r>
      </w:hyperlink>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hyperlink r:id="rId137">
        <w:r>
          <w:rPr>
            <w:lang w:val="pt_PT" w:bidi="pt_PT"/>
          </w:rPr>
          <w:rPr>
            <w:color w:val="0000EE"/>
            <w:u w:val="single"/>
          </w:rPr>
          <w:t>Êx 25.8–30.38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hyperlink r:id="rId138">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hyperlink r:id="rId139">
        <w:r>
          <w:rPr>
            <w:lang w:val="pt_PT" w:bidi="pt_PT"/>
          </w:rPr>
          <w:rPr>
            <w:color w:val="0000EE"/>
            <w:u w:val="single"/>
          </w:rPr>
          <w:t>Êx 25.23–30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hyperlink r:id="rId140">
        <w:r>
          <w:rPr>
            <w:lang w:val="pt_PT" w:bidi="pt_PT"/>
          </w:rPr>
          <w:rPr>
            <w:color w:val="0000EE"/>
            <w:u w:val="single"/>
          </w:rPr>
          <w:t>9.3</w:t>
        </w:r>
      </w:hyperlink>
      <w:r>
        <w:rPr>
          <w:lang w:val="pt_PT" w:bidi="pt_PT"/>
        </w:rPr>
        <w:t>) e define todo Israel em termos de seus representantes que vivem naquela cidade. • Ao detalhar as responsabilidades dos sacerdotes e levitas, o foco principal do Cronista era nos chefes das famílias levitas (</w:t>
      </w:r>
      <w:hyperlink r:id="rId141">
        <w:r>
          <w:rPr>
            <w:lang w:val="pt_PT" w:bidi="pt_PT"/>
          </w:rPr>
          <w:rPr>
            <w:color w:val="0000EE"/>
            <w:u w:val="single"/>
          </w:rPr>
          <w:t>9.10–33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hyperlink r:id="rId142">
        <w:r>
          <w:rPr>
            <w:lang w:val="pt_PT" w:bidi="pt_PT"/>
          </w:rPr>
          <w:rPr>
            <w:color w:val="0000EE"/>
            <w:u w:val="single"/>
          </w:rPr>
          <w:t>8.29–40</w:t>
        </w:r>
      </w:hyperlink>
      <w:r>
        <w:rPr>
          <w:lang w:val="pt_PT" w:bidi="pt_PT"/>
        </w:rPr>
        <w:t xml:space="preserve">); a repetição desse material fornece uma transição das genealogias para as narrativas, começando com a história da morte de Saul (cap. </w:t>
      </w:r>
      <w:hyperlink r:id="rId14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hyperlink r:id="rId144">
        <w:r>
          <w:rPr>
            <w:lang w:val="pt_PT" w:bidi="pt_PT"/>
          </w:rPr>
          <w:rPr>
            <w:color w:val="0000EE"/>
            <w:u w:val="single"/>
          </w:rPr>
          <w:t>1Sm 31.6</w:t>
        </w:r>
      </w:hyperlink>
      <w:r>
        <w:rPr>
          <w:lang w:val="pt_PT" w:bidi="pt_PT"/>
        </w:rPr>
        <w:t>), enfatizando a ação de Deus em remover Saul e substituí-lo por Davi (</w:t>
      </w:r>
      <w:hyperlink r:id="rId145">
        <w:r>
          <w:rPr>
            <w:lang w:val="pt_PT" w:bidi="pt_PT"/>
          </w:rPr>
          <w:rPr>
            <w:color w:val="0000EE"/>
            <w:u w:val="single"/>
          </w:rPr>
          <w:t>1Cr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hyperlink r:id="rId146">
        <w:r>
          <w:rPr>
            <w:lang w:val="pt_PT" w:bidi="pt_PT"/>
          </w:rPr>
          <w:rPr>
            <w:color w:val="0000EE"/>
            <w:u w:val="single"/>
          </w:rPr>
          <w:t>3.4</w:t>
        </w:r>
      </w:hyperlink>
      <w:r>
        <w:rPr>
          <w:lang w:val="pt_PT" w:bidi="pt_PT"/>
        </w:rPr>
        <w:t xml:space="preserve">; </w:t>
      </w:r>
      <w:hyperlink r:id="rId147">
        <w:r>
          <w:rPr>
            <w:lang w:val="pt_PT" w:bidi="pt_PT"/>
          </w:rPr>
          <w:rPr>
            <w:color w:val="0000EE"/>
            <w:u w:val="single"/>
          </w:rPr>
          <w:t>2Sm 5.5</w:t>
        </w:r>
      </w:hyperlink>
      <w:r>
        <w:rPr>
          <w:lang w:val="pt_PT" w:bidi="pt_PT"/>
        </w:rPr>
        <w:t xml:space="preserve">). O cronista omite o relato desse período (veja </w:t>
      </w:r>
      <w:hyperlink r:id="rId148">
        <w:r>
          <w:rPr>
            <w:lang w:val="pt_PT" w:bidi="pt_PT"/>
          </w:rPr>
          <w:rPr>
            <w:color w:val="0000EE"/>
            <w:u w:val="single"/>
          </w:rPr>
          <w:t>2Sm 2–4</w:t>
        </w:r>
      </w:hyperlink>
      <w:r>
        <w:rPr>
          <w:lang w:val="pt_PT" w:bidi="pt_PT"/>
        </w:rPr>
        <w:t xml:space="preserve">) e foca no reinado de Davi sobre toda a nação por 33 anos e meio, começando com seu pacto com todos os anciãos de Israel em Hebrom (veja </w:t>
      </w:r>
      <w:hyperlink r:id="rId149">
        <w:r>
          <w:rPr>
            <w:lang w:val="pt_PT" w:bidi="pt_PT"/>
          </w:rPr>
          <w:rPr>
            <w:color w:val="0000EE"/>
            <w:u w:val="single"/>
          </w:rPr>
          <w:t>2Sm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hyperlink r:id="rId150">
        <w:r>
          <w:rPr>
            <w:lang w:val="pt_PT" w:bidi="pt_PT"/>
          </w:rPr>
          <w:rPr>
            <w:color w:val="0000EE"/>
            <w:u w:val="single"/>
          </w:rPr>
          <w:t>11.3</w:t>
        </w:r>
      </w:hyperlink>
      <w:r>
        <w:rPr>
          <w:lang w:val="pt_PT" w:bidi="pt_PT"/>
        </w:rPr>
        <w:t xml:space="preserve">; </w:t>
      </w:r>
      <w:hyperlink r:id="rId151">
        <w:r>
          <w:rPr>
            <w:lang w:val="pt_PT" w:bidi="pt_PT"/>
          </w:rPr>
          <w:rPr>
            <w:color w:val="0000EE"/>
            <w:u w:val="single"/>
          </w:rPr>
          <w:t>1Sm 16.11–14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hyperlink r:id="rId152">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hyperlink r:id="rId153">
        <w:r>
          <w:rPr>
            <w:lang w:val="pt_PT" w:bidi="pt_PT"/>
          </w:rPr>
          <w:rPr>
            <w:color w:val="0000EE"/>
            <w:u w:val="single"/>
          </w:rPr>
          <w:t>2Sm 23</w:t>
        </w:r>
      </w:hyperlink>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4">
        <w:r>
          <w:rPr>
            <w:lang w:val="pt_PT" w:bidi="pt_PT"/>
          </w:rPr>
          <w:rPr>
            <w:color w:val="0000EE"/>
            <w:u w:val="single"/>
          </w:rPr>
          <w:t>12.2</w:t>
        </w:r>
      </w:hyperlink>
      <w:r>
        <w:rPr>
          <w:lang w:val="pt_PT" w:bidi="pt_PT"/>
        </w:rPr>
        <w:t>). Claro, Davi foi prudente com esses desertores (</w:t>
      </w:r>
      <w:hyperlink r:id="rId155">
        <w:r>
          <w:rPr>
            <w:lang w:val="pt_PT" w:bidi="pt_PT"/>
          </w:rPr>
          <w:rPr>
            <w:color w:val="0000EE"/>
            <w:u w:val="single"/>
          </w:rPr>
          <w:t>12.17</w:t>
        </w:r>
      </w:hyperlink>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hyperlink r:id="rId156">
        <w:r>
          <w:rPr>
            <w:lang w:val="pt_PT" w:bidi="pt_PT"/>
          </w:rPr>
          <w:rPr>
            <w:color w:val="0000EE"/>
            <w:u w:val="single"/>
          </w:rPr>
          <w:t>12.29</w:t>
        </w:r>
      </w:hyperlink>
      <w:r>
        <w:rPr>
          <w:lang w:val="pt_PT" w:bidi="pt_PT"/>
        </w:rPr>
        <w:t>), para confirmar o reinado de Davi mostrou que a animosidade da guerra entre diferentes tribos após a morte de Saul havia sido superada (</w:t>
      </w:r>
      <w:hyperlink r:id="rId157">
        <w:r>
          <w:rPr>
            <w:lang w:val="pt_PT" w:bidi="pt_PT"/>
          </w:rPr>
          <w:rPr>
            <w:color w:val="0000EE"/>
            <w:u w:val="single"/>
          </w:rPr>
          <w:t>12.23–37</w:t>
        </w:r>
      </w:hyperlink>
      <w:r>
        <w:rPr>
          <w:lang w:val="pt_PT" w:bidi="pt_PT"/>
        </w:rPr>
        <w:t>). O Cronista enfatiza a unidade entre as tribos com a declaração de que todas elas, sem reservas, tinham o único propósito de fazer de Davi o rei sobre todo Israel (</w:t>
      </w:r>
      <w:hyperlink r:id="rId158">
        <w:r>
          <w:rPr>
            <w:lang w:val="pt_PT" w:bidi="pt_PT"/>
          </w:rPr>
          <w:rPr>
            <w:color w:val="0000EE"/>
            <w:u w:val="single"/>
          </w:rPr>
          <w:t>12.38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hyperlink r:id="rId159">
        <w:r>
          <w:rPr>
            <w:lang w:val="pt_PT" w:bidi="pt_PT"/>
          </w:rPr>
          <w:rPr>
            <w:color w:val="0000EE"/>
            <w:u w:val="single"/>
          </w:rPr>
          <w:t>13.1–14</w:t>
        </w:r>
      </w:hyperlink>
      <w:r>
        <w:rPr>
          <w:lang w:val="pt_PT" w:bidi="pt_PT"/>
        </w:rPr>
        <w:t xml:space="preserve">; cp. </w:t>
      </w:r>
      <w:hyperlink r:id="rId160">
        <w:r>
          <w:rPr>
            <w:lang w:val="pt_PT" w:bidi="pt_PT"/>
          </w:rPr>
          <w:rPr>
            <w:color w:val="0000EE"/>
            <w:u w:val="single"/>
          </w:rPr>
          <w:t>2Sm 6.2–11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hyperlink r:id="rId1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hyperlink r:id="rId159">
        <w:r>
          <w:rPr>
            <w:lang w:val="pt_PT" w:bidi="pt_PT"/>
          </w:rPr>
          <w:rPr>
            <w:color w:val="0000EE"/>
            <w:u w:val="single"/>
          </w:rPr>
          <w:t>13.1–14</w:t>
        </w:r>
      </w:hyperlink>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hyperlink r:id="rId162">
        <w:r>
          <w:rPr>
            <w:lang w:val="pt_PT" w:bidi="pt_PT"/>
          </w:rPr>
          <w:rPr>
            <w:color w:val="0000EE"/>
            <w:u w:val="single"/>
          </w:rPr>
          <w:t>15.1–29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3">
        <w:r>
          <w:rPr>
            <w:lang w:val="pt_PT" w:bidi="pt_PT"/>
          </w:rPr>
          <w:rPr>
            <w:color w:val="0000EE"/>
            <w:u w:val="single"/>
          </w:rPr>
          <w:t>Js 15.8</w:t>
        </w:r>
      </w:hyperlink>
      <w:r>
        <w:rPr>
          <w:lang w:val="pt_PT" w:bidi="pt_PT"/>
        </w:rPr>
        <w:t>). Davi consultou o Senhor antes da batalha, um contraste direto com Saul, que consultou uma médium em busca de ajuda contra os filisteus (</w:t>
      </w:r>
      <w:hyperlink r:id="rId164">
        <w:r>
          <w:rPr>
            <w:lang w:val="pt_PT" w:bidi="pt_PT"/>
          </w:rPr>
          <w:rPr>
            <w:color w:val="0000EE"/>
            <w:u w:val="single"/>
          </w:rPr>
          <w:t>1Cr 10.13</w:t>
        </w:r>
      </w:hyperlink>
      <w:r>
        <w:rPr>
          <w:lang w:val="pt_PT" w:bidi="pt_PT"/>
        </w:rPr>
        <w:t xml:space="preserve">; veja </w:t>
      </w:r>
      <w:hyperlink r:id="rId165">
        <w:r>
          <w:rPr>
            <w:lang w:val="pt_PT" w:bidi="pt_PT"/>
          </w:rPr>
          <w:rPr>
            <w:color w:val="0000EE"/>
            <w:u w:val="single"/>
          </w:rPr>
          <w:t>1Sm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hyperlink r:id="rId166">
        <w:r>
          <w:rPr>
            <w:lang w:val="pt_PT" w:bidi="pt_PT"/>
          </w:rPr>
          <w:rPr>
            <w:color w:val="0000EE"/>
            <w:u w:val="single"/>
          </w:rPr>
          <w:t>Dt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hyperlink r:id="rId159">
        <w:r>
          <w:rPr>
            <w:lang w:val="pt_PT" w:bidi="pt_PT"/>
          </w:rPr>
          <w:rPr>
            <w:color w:val="0000EE"/>
            <w:u w:val="single"/>
          </w:rPr>
          <w:t>13.1–14</w:t>
        </w:r>
      </w:hyperlink>
      <w:r>
        <w:rPr>
          <w:lang w:val="pt_PT" w:bidi="pt_PT"/>
        </w:rPr>
        <w:t xml:space="preserve">) falhou devido a procedimentos inadequados (veja </w:t>
      </w:r>
      <w:hyperlink r:id="rId161">
        <w:r>
          <w:rPr>
            <w:lang w:val="pt_PT" w:bidi="pt_PT"/>
          </w:rPr>
          <w:rPr>
            <w:color w:val="0000EE"/>
            <w:u w:val="single"/>
          </w:rPr>
          <w:t>15.13</w:t>
        </w:r>
      </w:hyperlink>
      <w:r>
        <w:rPr>
          <w:lang w:val="pt_PT" w:bidi="pt_PT"/>
        </w:rPr>
        <w:t>). Desta vez, Davi preparou um lugar para a Arca em Jerusalém e organizou os levitas... para carregar a Arca, pois essa era a responsabilidade deles (</w:t>
      </w:r>
      <w:hyperlink r:id="rId167">
        <w:r>
          <w:rPr>
            <w:lang w:val="pt_PT" w:bidi="pt_PT"/>
          </w:rPr>
          <w:rPr>
            <w:color w:val="0000EE"/>
            <w:u w:val="single"/>
          </w:rPr>
          <w:t>Dt 10.8</w:t>
        </w:r>
      </w:hyperlink>
      <w:r>
        <w:rPr>
          <w:lang w:val="pt_PT" w:bidi="pt_PT"/>
        </w:rPr>
        <w:t xml:space="preserve">; </w:t>
      </w:r>
      <w:hyperlink r:id="rId168">
        <w:r>
          <w:rPr>
            <w:lang w:val="pt_PT" w:bidi="pt_PT"/>
          </w:rPr>
          <w:rPr>
            <w:color w:val="0000EE"/>
            <w:u w:val="single"/>
          </w:rPr>
          <w:t>18.5</w:t>
        </w:r>
      </w:hyperlink>
      <w:r>
        <w:rPr>
          <w:lang w:val="pt_PT" w:bidi="pt_PT"/>
        </w:rPr>
        <w:t xml:space="preserve">). A tenda especial que Davi preparou para a Arca não era o Tabernáculo, que estava localizado em Gibeão na época (veja </w:t>
      </w:r>
      <w:hyperlink r:id="rId169">
        <w:r>
          <w:rPr>
            <w:lang w:val="pt_PT" w:bidi="pt_PT"/>
          </w:rPr>
          <w:rPr>
            <w:color w:val="0000EE"/>
            <w:u w:val="single"/>
          </w:rPr>
          <w:t>1Cr 16.39</w:t>
        </w:r>
      </w:hyperlink>
      <w:r>
        <w:rPr>
          <w:lang w:val="pt_PT" w:bidi="pt_PT"/>
        </w:rPr>
        <w:t xml:space="preserve">; </w:t>
      </w:r>
      <w:hyperlink r:id="rId170">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hyperlink r:id="rId171">
        <w:r>
          <w:rPr>
            <w:lang w:val="pt_PT" w:bidi="pt_PT"/>
          </w:rPr>
          <w:rPr>
            <w:color w:val="0000EE"/>
            <w:u w:val="single"/>
          </w:rPr>
          <w:t>13.1–10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hyperlink r:id="rId172">
        <w:r>
          <w:rPr>
            <w:lang w:val="pt_PT" w:bidi="pt_PT"/>
          </w:rPr>
          <w:rPr>
            <w:color w:val="0000EE"/>
            <w:u w:val="single"/>
          </w:rPr>
          <w:t>15.19–22</w:t>
        </w:r>
      </w:hyperlink>
      <w:r>
        <w:rPr>
          <w:lang w:val="pt_PT" w:bidi="pt_PT"/>
        </w:rPr>
        <w:t xml:space="preserve">; </w:t>
      </w:r>
      <w:hyperlink r:id="rId173">
        <w:r>
          <w:rPr>
            <w:lang w:val="pt_PT" w:bidi="pt_PT"/>
          </w:rPr>
          <w:rPr>
            <w:color w:val="0000EE"/>
            <w:u w:val="single"/>
          </w:rPr>
          <w:t>16.4–6</w:t>
        </w:r>
      </w:hyperlink>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hyperlink r:id="rId174">
        <w:r>
          <w:rPr>
            <w:lang w:val="pt_PT" w:bidi="pt_PT"/>
          </w:rPr>
          <w:rPr>
            <w:color w:val="0000EE"/>
            <w:u w:val="single"/>
          </w:rPr>
          <w:t>6.33–47</w:t>
        </w:r>
      </w:hyperlink>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hyperlink r:id="rId175">
        <w:r>
          <w:rPr>
            <w:lang w:val="pt_PT" w:bidi="pt_PT"/>
          </w:rPr>
          <w:rPr>
            <w:color w:val="0000EE"/>
            <w:u w:val="single"/>
          </w:rPr>
          <w:t>2Sm 6.16–23</w:t>
        </w:r>
      </w:hyperlink>
      <w:r>
        <w:rPr>
          <w:lang w:val="pt_PT" w:bidi="pt_PT"/>
        </w:rPr>
        <w:t>) por Davi contrasta fortemente com a bênção de Deus sobre a celebração (</w:t>
      </w:r>
      <w:hyperlink r:id="rId176">
        <w:r>
          <w:rPr>
            <w:lang w:val="pt_PT" w:bidi="pt_PT"/>
          </w:rPr>
          <w:rPr>
            <w:color w:val="0000EE"/>
            <w:u w:val="single"/>
          </w:rPr>
          <w:t>1Cr 15.26</w:t>
        </w:r>
      </w:hyperlink>
      <w:r>
        <w:rPr>
          <w:lang w:val="pt_PT" w:bidi="pt_PT"/>
        </w:rPr>
        <w:t xml:space="preserve">); sua descrição como filha de Saul implica que sua atitude refletia o desrespeito de seu pai pelo Senhor (veja </w:t>
      </w:r>
      <w:hyperlink r:id="rId177">
        <w:r>
          <w:rPr>
            <w:lang w:val="pt_PT" w:bidi="pt_PT"/>
          </w:rPr>
          <w:rPr>
            <w:color w:val="0000EE"/>
            <w:u w:val="single"/>
          </w:rPr>
          <w:t>1Sm 10.10–12</w:t>
        </w:r>
      </w:hyperlink>
      <w:r>
        <w:rPr>
          <w:lang w:val="pt_PT" w:bidi="pt_PT"/>
        </w:rPr>
        <w:t xml:space="preserve">; </w:t>
      </w:r>
      <w:hyperlink r:id="rId178">
        <w:r>
          <w:rPr>
            <w:lang w:val="pt_PT" w:bidi="pt_PT"/>
          </w:rPr>
          <w:rPr>
            <w:color w:val="0000EE"/>
            <w:u w:val="single"/>
          </w:rPr>
          <w:t>13.7–14</w:t>
        </w:r>
      </w:hyperlink>
      <w:r>
        <w:rPr>
          <w:lang w:val="pt_PT" w:bidi="pt_PT"/>
        </w:rPr>
        <w:t xml:space="preserve">; </w:t>
      </w:r>
      <w:hyperlink r:id="rId179">
        <w:r>
          <w:rPr>
            <w:lang w:val="pt_PT" w:bidi="pt_PT"/>
          </w:rPr>
          <w:rPr>
            <w:color w:val="0000EE"/>
            <w:u w:val="single"/>
          </w:rPr>
          <w:t>15.10–23</w:t>
        </w:r>
      </w:hyperlink>
      <w:r>
        <w:rPr>
          <w:lang w:val="pt_PT" w:bidi="pt_PT"/>
        </w:rPr>
        <w:t xml:space="preserve">; </w:t>
      </w:r>
      <w:hyperlink r:id="rId165">
        <w:r>
          <w:rPr>
            <w:lang w:val="pt_PT" w:bidi="pt_PT"/>
          </w:rPr>
          <w:rPr>
            <w:color w:val="0000EE"/>
            <w:u w:val="single"/>
          </w:rPr>
          <w:t>28.1–25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hyperlink r:id="rId180">
        <w:r>
          <w:rPr>
            <w:lang w:val="pt_PT" w:bidi="pt_PT"/>
          </w:rPr>
          <w:rPr>
            <w:color w:val="0000EE"/>
            <w:u w:val="single"/>
          </w:rPr>
          <w:t>16.1–3</w:t>
        </w:r>
      </w:hyperlink>
      <w:r>
        <w:rPr>
          <w:lang w:val="pt_PT" w:bidi="pt_PT"/>
        </w:rPr>
        <w:t>) e a conclusão do evento (</w:t>
      </w:r>
      <w:hyperlink r:id="rId181">
        <w:r>
          <w:rPr>
            <w:lang w:val="pt_PT" w:bidi="pt_PT"/>
          </w:rPr>
          <w:rPr>
            <w:color w:val="0000EE"/>
            <w:u w:val="single"/>
          </w:rPr>
          <w:t>16.43</w:t>
        </w:r>
      </w:hyperlink>
      <w:r>
        <w:rPr>
          <w:lang w:val="pt_PT" w:bidi="pt_PT"/>
        </w:rPr>
        <w:t xml:space="preserve">) são relatadas exatamente como em Samuel (veja </w:t>
      </w:r>
      <w:hyperlink r:id="rId182">
        <w:r>
          <w:rPr>
            <w:lang w:val="pt_PT" w:bidi="pt_PT"/>
          </w:rPr>
          <w:rPr>
            <w:color w:val="0000EE"/>
            <w:u w:val="single"/>
          </w:rPr>
          <w:t>2Sm 6.17–20</w:t>
        </w:r>
      </w:hyperlink>
      <w:r>
        <w:rPr>
          <w:lang w:val="pt_PT" w:bidi="pt_PT"/>
        </w:rPr>
        <w:t>). No entanto, entre esses marcos, o Cronista detalha as celebrações que acompanharam o evento e os arranjos permanentes para adoração (</w:t>
      </w:r>
      <w:hyperlink r:id="rId183">
        <w:r>
          <w:rPr>
            <w:lang w:val="pt_PT" w:bidi="pt_PT"/>
          </w:rPr>
          <w:rPr>
            <w:color w:val="0000EE"/>
            <w:u w:val="single"/>
          </w:rPr>
          <w:t>1Cr 16.4–42</w:t>
        </w:r>
      </w:hyperlink>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hyperlink r:id="rId184">
        <w:r>
          <w:rPr>
            <w:lang w:val="pt_PT" w:bidi="pt_PT"/>
          </w:rPr>
          <w:rPr>
            <w:color w:val="0000EE"/>
            <w:u w:val="single"/>
          </w:rPr>
          <w:t>16.8–22</w:t>
        </w:r>
      </w:hyperlink>
      <w:r>
        <w:rPr>
          <w:lang w:val="pt_PT" w:bidi="pt_PT"/>
        </w:rPr>
        <w:t xml:space="preserve"> é extraído de </w:t>
      </w:r>
      <w:hyperlink r:id="rId185">
        <w:r>
          <w:rPr>
            <w:lang w:val="pt_PT" w:bidi="pt_PT"/>
          </w:rPr>
          <w:rPr>
            <w:color w:val="0000EE"/>
            <w:u w:val="single"/>
          </w:rPr>
          <w:t>Sl 105.1–15</w:t>
        </w:r>
      </w:hyperlink>
      <w:r>
        <w:rPr>
          <w:lang w:val="pt_PT" w:bidi="pt_PT"/>
        </w:rPr>
        <w:t xml:space="preserve">; </w:t>
      </w:r>
      <w:hyperlink r:id="rId186">
        <w:r>
          <w:rPr>
            <w:lang w:val="pt_PT" w:bidi="pt_PT"/>
          </w:rPr>
          <w:rPr>
            <w:color w:val="0000EE"/>
            <w:u w:val="single"/>
          </w:rPr>
          <w:t>1Cr 16.23–33</w:t>
        </w:r>
      </w:hyperlink>
      <w:r>
        <w:rPr>
          <w:lang w:val="pt_PT" w:bidi="pt_PT"/>
        </w:rPr>
        <w:t xml:space="preserve"> é extraído de </w:t>
      </w:r>
      <w:hyperlink r:id="rId187">
        <w:r>
          <w:rPr>
            <w:lang w:val="pt_PT" w:bidi="pt_PT"/>
          </w:rPr>
          <w:rPr>
            <w:color w:val="0000EE"/>
            <w:u w:val="single"/>
          </w:rPr>
          <w:t>Sl 96</w:t>
        </w:r>
      </w:hyperlink>
      <w:r>
        <w:rPr>
          <w:lang w:val="pt_PT" w:bidi="pt_PT"/>
        </w:rPr>
        <w:t xml:space="preserve">; e </w:t>
      </w:r>
      <w:hyperlink r:id="rId188">
        <w:r>
          <w:rPr>
            <w:lang w:val="pt_PT" w:bidi="pt_PT"/>
          </w:rPr>
          <w:rPr>
            <w:color w:val="0000EE"/>
            <w:u w:val="single"/>
          </w:rPr>
          <w:t>1Cr 16.34–38</w:t>
        </w:r>
      </w:hyperlink>
      <w:r>
        <w:rPr>
          <w:lang w:val="pt_PT" w:bidi="pt_PT"/>
        </w:rPr>
        <w:t xml:space="preserve"> é extraído de </w:t>
      </w:r>
      <w:hyperlink r:id="rId189">
        <w:r>
          <w:rPr>
            <w:lang w:val="pt_PT" w:bidi="pt_PT"/>
          </w:rPr>
          <w:rPr>
            <w:color w:val="0000EE"/>
            <w:u w:val="single"/>
          </w:rPr>
          <w:t>Sl 106.1</w:t>
        </w:r>
      </w:hyperlink>
      <w:r>
        <w:rPr>
          <w:lang w:val="pt_PT" w:bidi="pt_PT"/>
        </w:rPr>
        <w:t>,</w:t>
      </w:r>
      <w:hyperlink r:id="rId190">
        <w:r>
          <w:rPr>
            <w:lang w:val="pt_PT" w:bidi="pt_PT"/>
          </w:rPr>
          <w:rPr>
            <w:color w:val="0000EE"/>
            <w:u w:val="single"/>
          </w:rPr>
          <w:t>47–48</w:t>
        </w:r>
      </w:hyperlink>
      <w:r>
        <w:rPr>
          <w:lang w:val="pt_PT" w:bidi="pt_PT"/>
        </w:rPr>
        <w:t>. O compositor fez vários ajustes nas fontes para se adequar a esta ocasião. O Templo não existia quando a Arca foi levada para Jerusalém, então o Cronista diz que força e alegria enchem sua morada (</w:t>
      </w:r>
      <w:hyperlink r:id="rId191">
        <w:r>
          <w:rPr>
            <w:lang w:val="pt_PT" w:bidi="pt_PT"/>
          </w:rPr>
          <w:rPr>
            <w:color w:val="0000EE"/>
            <w:u w:val="single"/>
          </w:rPr>
          <w:t>1Cr 16.27</w:t>
        </w:r>
      </w:hyperlink>
      <w:r>
        <w:rPr>
          <w:lang w:val="pt_PT" w:bidi="pt_PT"/>
        </w:rPr>
        <w:t>) em vez de “seu santuário” (</w:t>
      </w:r>
      <w:hyperlink r:id="rId192">
        <w:r>
          <w:rPr>
            <w:lang w:val="pt_PT" w:bidi="pt_PT"/>
          </w:rPr>
          <w:rPr>
            <w:color w:val="0000EE"/>
            <w:u w:val="single"/>
          </w:rPr>
          <w:t>Sl 96.6</w:t>
        </w:r>
      </w:hyperlink>
      <w:r>
        <w:rPr>
          <w:lang w:val="pt_PT" w:bidi="pt_PT"/>
        </w:rPr>
        <w:t>) e requer que o adorador venha à sua presença (</w:t>
      </w:r>
      <w:hyperlink r:id="rId193">
        <w:r>
          <w:rPr>
            <w:lang w:val="pt_PT" w:bidi="pt_PT"/>
          </w:rPr>
          <w:rPr>
            <w:color w:val="0000EE"/>
            <w:u w:val="single"/>
          </w:rPr>
          <w:t>1Cr 16.29</w:t>
        </w:r>
      </w:hyperlink>
      <w:r>
        <w:rPr>
          <w:lang w:val="pt_PT" w:bidi="pt_PT"/>
        </w:rPr>
        <w:t>) em vez de “nos seus átrios” (</w:t>
      </w:r>
      <w:hyperlink r:id="rId194">
        <w:r>
          <w:rPr>
            <w:lang w:val="pt_PT" w:bidi="pt_PT"/>
          </w:rPr>
          <w:rPr>
            <w:color w:val="0000EE"/>
            <w:u w:val="single"/>
          </w:rPr>
          <w:t>Sl 96.8</w:t>
        </w:r>
      </w:hyperlink>
      <w:r>
        <w:rPr>
          <w:lang w:val="pt_PT" w:bidi="pt_PT"/>
        </w:rPr>
        <w:t>). O nome “Abraão” (</w:t>
      </w:r>
      <w:hyperlink r:id="rId195">
        <w:r>
          <w:rPr>
            <w:lang w:val="pt_PT" w:bidi="pt_PT"/>
          </w:rPr>
          <w:rPr>
            <w:color w:val="0000EE"/>
            <w:u w:val="single"/>
          </w:rPr>
          <w:t>Sl 105.9</w:t>
        </w:r>
      </w:hyperlink>
      <w:r>
        <w:rPr>
          <w:lang w:val="pt_PT" w:bidi="pt_PT"/>
        </w:rPr>
        <w:t>) também é mudado para Israel (</w:t>
      </w:r>
      <w:hyperlink r:id="rId196">
        <w:r>
          <w:rPr>
            <w:lang w:val="pt_PT" w:bidi="pt_PT"/>
          </w:rPr>
          <w:rPr>
            <w:color w:val="0000EE"/>
            <w:u w:val="single"/>
          </w:rPr>
          <w:t>1Cr 16.13</w:t>
        </w:r>
      </w:hyperlink>
      <w:r>
        <w:rPr>
          <w:lang w:val="pt_PT" w:bidi="pt_PT"/>
        </w:rPr>
        <w:t>) para focar especificamente na nação como o cumprimento das promessas a Abraão. O hino não menciona o julgamento da terra (</w:t>
      </w:r>
      <w:hyperlink r:id="rId197">
        <w:r>
          <w:rPr>
            <w:lang w:val="pt_PT" w:bidi="pt_PT"/>
          </w:rPr>
          <w:rPr>
            <w:color w:val="0000EE"/>
            <w:u w:val="single"/>
          </w:rPr>
          <w:t>Sl 96.10</w:t>
        </w:r>
      </w:hyperlink>
      <w:r>
        <w:rPr>
          <w:lang w:val="pt_PT" w:bidi="pt_PT"/>
        </w:rPr>
        <w:t>,</w:t>
      </w:r>
      <w:hyperlink r:id="rId198">
        <w:r>
          <w:rPr>
            <w:lang w:val="pt_PT" w:bidi="pt_PT"/>
          </w:rPr>
          <w:rPr>
            <w:color w:val="0000EE"/>
            <w:u w:val="single"/>
          </w:rPr>
          <w:t>13</w:t>
        </w:r>
      </w:hyperlink>
      <w:r>
        <w:rPr>
          <w:lang w:val="pt_PT" w:bidi="pt_PT"/>
        </w:rPr>
        <w:t xml:space="preserve">; cp. </w:t>
      </w:r>
      <w:hyperlink r:id="rId199">
        <w:r>
          <w:rPr>
            <w:lang w:val="pt_PT" w:bidi="pt_PT"/>
          </w:rPr>
          <w:rPr>
            <w:color w:val="0000EE"/>
            <w:u w:val="single"/>
          </w:rPr>
          <w:t>1Cr 16.30</w:t>
        </w:r>
      </w:hyperlink>
      <w:r>
        <w:rPr>
          <w:lang w:val="pt_PT" w:bidi="pt_PT"/>
        </w:rPr>
        <w:t>,</w:t>
      </w:r>
      <w:hyperlink r:id="rId200">
        <w:r>
          <w:rPr>
            <w:lang w:val="pt_PT" w:bidi="pt_PT"/>
          </w:rPr>
          <w:rPr>
            <w:color w:val="0000EE"/>
            <w:u w:val="single"/>
          </w:rPr>
          <w:t>33</w:t>
        </w:r>
      </w:hyperlink>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hyperlink r:id="rId202">
        <w:r>
          <w:rPr>
            <w:lang w:val="pt_PT" w:bidi="pt_PT"/>
          </w:rPr>
          <w:rPr>
            <w:color w:val="0000EE"/>
            <w:u w:val="single"/>
          </w:rPr>
          <w:t>22</w:t>
        </w:r>
      </w:hyperlink>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hyperlink r:id="rId203">
        <w:r>
          <w:rPr>
            <w:lang w:val="pt_PT" w:bidi="pt_PT"/>
          </w:rPr>
          <w:rPr>
            <w:color w:val="0000EE"/>
            <w:u w:val="single"/>
          </w:rPr>
          <w:t>13.1–17.27</w:t>
        </w:r>
      </w:hyperlink>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hyperlink r:id="rId204">
        <w:r>
          <w:rPr>
            <w:lang w:val="pt_PT" w:bidi="pt_PT"/>
          </w:rPr>
          <w:rPr>
            <w:color w:val="0000EE"/>
            <w:u w:val="single"/>
          </w:rPr>
          <w:t>2Cr 2–7</w:t>
        </w:r>
      </w:hyperlink>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hyperlink r:id="rId205">
        <w:r>
          <w:rPr>
            <w:lang w:val="pt_PT" w:bidi="pt_PT"/>
          </w:rPr>
          <w:rPr>
            <w:color w:val="0000EE"/>
            <w:u w:val="single"/>
          </w:rPr>
          <w:t>22.9</w:t>
        </w:r>
      </w:hyperlink>
      <w:r>
        <w:rPr>
          <w:lang w:val="pt_PT" w:bidi="pt_PT"/>
        </w:rPr>
        <w:t xml:space="preserve">; </w:t>
      </w:r>
      <w:hyperlink r:id="rId206">
        <w:r>
          <w:rPr>
            <w:lang w:val="pt_PT" w:bidi="pt_PT"/>
          </w:rPr>
          <w:rPr>
            <w:color w:val="0000EE"/>
            <w:u w:val="single"/>
          </w:rPr>
          <w:t>28.5–6</w:t>
        </w:r>
      </w:hyperlink>
      <w:r>
        <w:rPr>
          <w:lang w:val="pt_PT" w:bidi="pt_PT"/>
        </w:rPr>
        <w:t xml:space="preserve">; cp. </w:t>
      </w:r>
      <w:hyperlink r:id="rId207">
        <w:r>
          <w:rPr>
            <w:lang w:val="pt_PT" w:bidi="pt_PT"/>
          </w:rPr>
          <w:rPr>
            <w:color w:val="0000EE"/>
            <w:u w:val="single"/>
          </w:rPr>
          <w:t>2Sm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hyperlink r:id="rId208">
        <w:r>
          <w:rPr>
            <w:lang w:val="pt_PT" w:bidi="pt_PT"/>
          </w:rPr>
          <w:rPr>
            <w:color w:val="0000EE"/>
            <w:u w:val="single"/>
          </w:rPr>
          <w:t>2Sm 7.16</w:t>
        </w:r>
      </w:hyperlink>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hyperlink r:id="rId209">
        <w:r>
          <w:rPr>
            <w:lang w:val="pt_PT" w:bidi="pt_PT"/>
          </w:rPr>
          <w:rPr>
            <w:color w:val="0000EE"/>
            <w:u w:val="single"/>
          </w:rPr>
          <w:t>1Rs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hyperlink r:id="rId210">
        <w:r>
          <w:rPr>
            <w:lang w:val="pt_PT" w:bidi="pt_PT"/>
          </w:rPr>
          <w:rPr>
            <w:color w:val="0000EE"/>
            <w:u w:val="single"/>
          </w:rPr>
          <w:t>18.1</w:t>
        </w:r>
      </w:hyperlink>
      <w:r>
        <w:rPr>
          <w:lang w:val="pt_PT" w:bidi="pt_PT"/>
        </w:rPr>
        <w:t>), Moabe (</w:t>
      </w:r>
      <w:hyperlink r:id="rId211">
        <w:r>
          <w:rPr>
            <w:lang w:val="pt_PT" w:bidi="pt_PT"/>
          </w:rPr>
          <w:rPr>
            <w:color w:val="0000EE"/>
            <w:u w:val="single"/>
          </w:rPr>
          <w:t>18.2</w:t>
        </w:r>
      </w:hyperlink>
      <w:r>
        <w:rPr>
          <w:lang w:val="pt_PT" w:bidi="pt_PT"/>
        </w:rPr>
        <w:t>), Zoba (</w:t>
      </w:r>
      <w:hyperlink r:id="rId212">
        <w:r>
          <w:rPr>
            <w:lang w:val="pt_PT" w:bidi="pt_PT"/>
          </w:rPr>
          <w:rPr>
            <w:color w:val="0000EE"/>
            <w:u w:val="single"/>
          </w:rPr>
          <w:t>18.3–4</w:t>
        </w:r>
      </w:hyperlink>
      <w:r>
        <w:rPr>
          <w:lang w:val="pt_PT" w:bidi="pt_PT"/>
        </w:rPr>
        <w:t>), Damasco (</w:t>
      </w:r>
      <w:hyperlink r:id="rId213">
        <w:r>
          <w:rPr>
            <w:lang w:val="pt_PT" w:bidi="pt_PT"/>
          </w:rPr>
          <w:rPr>
            <w:color w:val="0000EE"/>
            <w:u w:val="single"/>
          </w:rPr>
          <w:t>18.5–6</w:t>
        </w:r>
      </w:hyperlink>
      <w:r>
        <w:rPr>
          <w:lang w:val="pt_PT" w:bidi="pt_PT"/>
        </w:rPr>
        <w:t>) e Edom (</w:t>
      </w:r>
      <w:hyperlink r:id="rId214">
        <w:r>
          <w:rPr>
            <w:lang w:val="pt_PT" w:bidi="pt_PT"/>
          </w:rPr>
          <w:rPr>
            <w:color w:val="0000EE"/>
            <w:u w:val="single"/>
          </w:rPr>
          <w:t>18.12–13</w:t>
        </w:r>
      </w:hyperlink>
      <w:r>
        <w:rPr>
          <w:lang w:val="pt_PT" w:bidi="pt_PT"/>
        </w:rPr>
        <w:t>); incluem registros das relações internacionais de Davi, despojos e tributos (</w:t>
      </w:r>
      <w:hyperlink r:id="rId215">
        <w:r>
          <w:rPr>
            <w:lang w:val="pt_PT" w:bidi="pt_PT"/>
          </w:rPr>
          <w:rPr>
            <w:color w:val="0000EE"/>
            <w:u w:val="single"/>
          </w:rPr>
          <w:t>18.7–11</w:t>
        </w:r>
      </w:hyperlink>
      <w:r>
        <w:rPr>
          <w:lang w:val="pt_PT" w:bidi="pt_PT"/>
        </w:rPr>
        <w:t>). Um tema recorrente é que o Senhor fez Davi vitorioso onde quer que ele fosse (</w:t>
      </w:r>
      <w:hyperlink r:id="rId216">
        <w:r>
          <w:rPr>
            <w:lang w:val="pt_PT" w:bidi="pt_PT"/>
          </w:rPr>
          <w:rPr>
            <w:color w:val="0000EE"/>
            <w:u w:val="single"/>
          </w:rPr>
          <w:t>18.6</w:t>
        </w:r>
      </w:hyperlink>
      <w:r>
        <w:rPr>
          <w:lang w:val="pt_PT" w:bidi="pt_PT"/>
        </w:rPr>
        <w:t>,</w:t>
      </w:r>
      <w:hyperlink r:id="rId21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18">
        <w:r>
          <w:rPr>
            <w:lang w:val="pt_PT" w:bidi="pt_PT"/>
          </w:rPr>
          <w:rPr>
            <w:color w:val="0000EE"/>
            <w:u w:val="single"/>
          </w:rPr>
          <w:t>18.1–17</w:t>
        </w:r>
      </w:hyperlink>
      <w:r>
        <w:rPr>
          <w:lang w:val="pt_PT" w:bidi="pt_PT"/>
        </w:rPr>
        <w:t xml:space="preserve">; veja </w:t>
      </w:r>
      <w:hyperlink r:id="rId219">
        <w:r>
          <w:rPr>
            <w:lang w:val="pt_PT" w:bidi="pt_PT"/>
          </w:rPr>
          <w:rPr>
            <w:color w:val="0000EE"/>
            <w:u w:val="single"/>
          </w:rPr>
          <w:t>2Sm 8.1–16</w:t>
        </w:r>
      </w:hyperlink>
      <w:r>
        <w:rPr>
          <w:lang w:val="pt_PT" w:bidi="pt_PT"/>
        </w:rPr>
        <w:t>); (2) a batalha contra os amonitas (</w:t>
      </w:r>
      <w:hyperlink r:id="rId220">
        <w:r>
          <w:rPr>
            <w:lang w:val="pt_PT" w:bidi="pt_PT"/>
          </w:rPr>
          <w:rPr>
            <w:color w:val="0000EE"/>
            <w:u w:val="single"/>
          </w:rPr>
          <w:t>1Cr 19.1–20.3</w:t>
        </w:r>
      </w:hyperlink>
      <w:r>
        <w:rPr>
          <w:lang w:val="pt_PT" w:bidi="pt_PT"/>
        </w:rPr>
        <w:t xml:space="preserve">; veja </w:t>
      </w:r>
      <w:hyperlink r:id="rId221">
        <w:r>
          <w:rPr>
            <w:lang w:val="pt_PT" w:bidi="pt_PT"/>
          </w:rPr>
          <w:rPr>
            <w:color w:val="0000EE"/>
            <w:u w:val="single"/>
          </w:rPr>
          <w:t>2Sm 10.1–11.1</w:t>
        </w:r>
      </w:hyperlink>
      <w:r>
        <w:rPr>
          <w:lang w:val="pt_PT" w:bidi="pt_PT"/>
        </w:rPr>
        <w:t xml:space="preserve">; </w:t>
      </w:r>
      <w:hyperlink r:id="rId222">
        <w:r>
          <w:rPr>
            <w:lang w:val="pt_PT" w:bidi="pt_PT"/>
          </w:rPr>
          <w:rPr>
            <w:color w:val="0000EE"/>
            <w:u w:val="single"/>
          </w:rPr>
          <w:t>12.30–31</w:t>
        </w:r>
      </w:hyperlink>
      <w:r>
        <w:rPr>
          <w:lang w:val="pt_PT" w:bidi="pt_PT"/>
        </w:rPr>
        <w:t>); e (3) as façanhas dos valentes de Davi (</w:t>
      </w:r>
      <w:hyperlink r:id="rId223">
        <w:r>
          <w:rPr>
            <w:lang w:val="pt_PT" w:bidi="pt_PT"/>
          </w:rPr>
          <w:rPr>
            <w:color w:val="0000EE"/>
            <w:u w:val="single"/>
          </w:rPr>
          <w:t>1Cr 20.4–8</w:t>
        </w:r>
      </w:hyperlink>
      <w:r>
        <w:rPr>
          <w:lang w:val="pt_PT" w:bidi="pt_PT"/>
        </w:rPr>
        <w:t xml:space="preserve">; veja </w:t>
      </w:r>
      <w:hyperlink r:id="rId224">
        <w:r>
          <w:rPr>
            <w:lang w:val="pt_PT" w:bidi="pt_PT"/>
          </w:rPr>
          <w:rPr>
            <w:color w:val="0000EE"/>
            <w:u w:val="single"/>
          </w:rPr>
          <w:t>2Sm 21.18–22</w:t>
        </w:r>
      </w:hyperlink>
      <w:r>
        <w:rPr>
          <w:lang w:val="pt_PT" w:bidi="pt_PT"/>
        </w:rPr>
        <w:t>). Cada seção começa com uma transição cronológica (depois disso) que une vagamente esses eventos (</w:t>
      </w:r>
      <w:hyperlink r:id="rId210">
        <w:r>
          <w:rPr>
            <w:lang w:val="pt_PT" w:bidi="pt_PT"/>
          </w:rPr>
          <w:rPr>
            <w:color w:val="0000EE"/>
            <w:u w:val="single"/>
          </w:rPr>
          <w:t>1Cr 18.1</w:t>
        </w:r>
      </w:hyperlink>
      <w:r>
        <w:rPr>
          <w:lang w:val="pt_PT" w:bidi="pt_PT"/>
        </w:rPr>
        <w:t xml:space="preserve">; </w:t>
      </w:r>
      <w:hyperlink r:id="rId225">
        <w:r>
          <w:rPr>
            <w:lang w:val="pt_PT" w:bidi="pt_PT"/>
          </w:rPr>
          <w:rPr>
            <w:color w:val="0000EE"/>
            <w:u w:val="single"/>
          </w:rPr>
          <w:t>19.1</w:t>
        </w:r>
      </w:hyperlink>
      <w:r>
        <w:rPr>
          <w:lang w:val="pt_PT" w:bidi="pt_PT"/>
        </w:rPr>
        <w:t xml:space="preserve">; </w:t>
      </w:r>
      <w:hyperlink r:id="rId22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hyperlink r:id="rId227">
        <w:r>
          <w:rPr>
            <w:lang w:val="pt_PT" w:bidi="pt_PT"/>
          </w:rPr>
          <w:rPr>
            <w:color w:val="0000EE"/>
            <w:u w:val="single"/>
          </w:rPr>
          <w:t>18.9–11</w:t>
        </w:r>
      </w:hyperlink>
      <w:r>
        <w:rPr>
          <w:lang w:val="pt_PT" w:bidi="pt_PT"/>
        </w:rPr>
        <w:t>). Com a derrota de Amom e dos arameus a leste do Jordão, Davi estendeu seu controle sobre as extensões meridionais de Edom e ganhou acesso a um porto marítimo ao sul (</w:t>
      </w:r>
      <w:hyperlink r:id="rId214">
        <w:r>
          <w:rPr>
            <w:lang w:val="pt_PT" w:bidi="pt_PT"/>
          </w:rPr>
          <w:rPr>
            <w:color w:val="0000EE"/>
            <w:u w:val="single"/>
          </w:rPr>
          <w:t>18.12–13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hyperlink r:id="rId228">
        <w:r>
          <w:rPr>
            <w:lang w:val="pt_PT" w:bidi="pt_PT"/>
          </w:rPr>
          <w:rPr>
            <w:color w:val="0000EE"/>
            <w:u w:val="single"/>
          </w:rPr>
          <w:t>19.8</w:t>
        </w:r>
      </w:hyperlink>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hyperlink r:id="rId229">
        <w:r>
          <w:rPr>
            <w:lang w:val="pt_PT" w:bidi="pt_PT"/>
          </w:rPr>
          <w:rPr>
            <w:color w:val="0000EE"/>
            <w:u w:val="single"/>
          </w:rPr>
          <w:t>2Sm 11.2–12.25</w:t>
        </w:r>
      </w:hyperlink>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hyperlink r:id="rId230">
        <w:r>
          <w:rPr>
            <w:lang w:val="pt_PT" w:bidi="pt_PT"/>
          </w:rPr>
          <w:rPr>
            <w:color w:val="0000EE"/>
            <w:u w:val="single"/>
          </w:rPr>
          <w:t>2Sm 24.1</w:t>
        </w:r>
      </w:hyperlink>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hyperlink r:id="rId231">
        <w:r>
          <w:rPr>
            <w:lang w:val="pt_PT" w:bidi="pt_PT"/>
          </w:rPr>
          <w:rPr>
            <w:color w:val="0000EE"/>
            <w:u w:val="single"/>
          </w:rPr>
          <w:t>2Cr 18.3–34</w:t>
        </w:r>
      </w:hyperlink>
      <w:r>
        <w:rPr>
          <w:lang w:val="pt_PT" w:bidi="pt_PT"/>
        </w:rPr>
        <w:t xml:space="preserve">; </w:t>
      </w:r>
      <w:hyperlink r:id="rId232">
        <w:r>
          <w:rPr>
            <w:lang w:val="pt_PT" w:bidi="pt_PT"/>
          </w:rPr>
          <w:rPr>
            <w:color w:val="0000EE"/>
            <w:u w:val="single"/>
          </w:rPr>
          <w:t>Jó 1.6–2.7</w:t>
        </w:r>
      </w:hyperlink>
      <w:r>
        <w:rPr>
          <w:lang w:val="pt_PT" w:bidi="pt_PT"/>
        </w:rPr>
        <w:t xml:space="preserve">; </w:t>
      </w:r>
      <w:hyperlink r:id="rId233">
        <w:r>
          <w:rPr>
            <w:lang w:val="pt_PT" w:bidi="pt_PT"/>
          </w:rPr>
          <w:rPr>
            <w:color w:val="0000EE"/>
            <w:u w:val="single"/>
          </w:rPr>
          <w:t>Zc 3.1–2</w:t>
        </w:r>
      </w:hyperlink>
      <w:r>
        <w:rPr>
          <w:lang w:val="pt_PT" w:bidi="pt_PT"/>
        </w:rPr>
        <w:t xml:space="preserve">; </w:t>
      </w:r>
      <w:hyperlink r:id="rId234">
        <w:r>
          <w:rPr>
            <w:lang w:val="pt_PT" w:bidi="pt_PT"/>
          </w:rPr>
          <w:rPr>
            <w:color w:val="0000EE"/>
            <w:u w:val="single"/>
          </w:rPr>
          <w:t>Mt 4.1–11</w:t>
        </w:r>
      </w:hyperlink>
      <w:r>
        <w:rPr>
          <w:lang w:val="pt_PT" w:bidi="pt_PT"/>
        </w:rPr>
        <w:t xml:space="preserve">; </w:t>
      </w:r>
      <w:hyperlink r:id="rId235">
        <w:r>
          <w:rPr>
            <w:lang w:val="pt_PT" w:bidi="pt_PT"/>
          </w:rPr>
          <w:rPr>
            <w:color w:val="0000EE"/>
            <w:u w:val="single"/>
          </w:rPr>
          <w:t>Jo 13.27</w:t>
        </w:r>
      </w:hyperlink>
      <w:r>
        <w:rPr>
          <w:lang w:val="pt_PT" w:bidi="pt_PT"/>
        </w:rPr>
        <w:t xml:space="preserve">; </w:t>
      </w:r>
      <w:hyperlink r:id="rId236">
        <w:r>
          <w:rPr>
            <w:lang w:val="pt_PT" w:bidi="pt_PT"/>
          </w:rPr>
          <w:rPr>
            <w:color w:val="0000EE"/>
            <w:u w:val="single"/>
          </w:rPr>
          <w:t>1Co 5.5</w:t>
        </w:r>
      </w:hyperlink>
      <w:r>
        <w:rPr>
          <w:lang w:val="pt_PT" w:bidi="pt_PT"/>
        </w:rPr>
        <w:t xml:space="preserve">; </w:t>
      </w:r>
      <w:hyperlink r:id="rId237">
        <w:r>
          <w:rPr>
            <w:lang w:val="pt_PT" w:bidi="pt_PT"/>
          </w:rPr>
          <w:rPr>
            <w:color w:val="0000EE"/>
            <w:u w:val="single"/>
          </w:rPr>
          <w:t>2Co 12.7</w:t>
        </w:r>
      </w:hyperlink>
      <w:r>
        <w:rPr>
          <w:lang w:val="pt_PT" w:bidi="pt_PT"/>
        </w:rPr>
        <w:t xml:space="preserve">; </w:t>
      </w:r>
      <w:hyperlink r:id="rId238">
        <w:r>
          <w:rPr>
            <w:lang w:val="pt_PT" w:bidi="pt_PT"/>
          </w:rPr>
          <w:rPr>
            <w:color w:val="0000EE"/>
            <w:u w:val="single"/>
          </w:rPr>
          <w:t>1Tm 1.20</w:t>
        </w:r>
      </w:hyperlink>
      <w:r>
        <w:rPr>
          <w:lang w:val="pt_PT" w:bidi="pt_PT"/>
        </w:rPr>
        <w:t xml:space="preserve">; </w:t>
      </w:r>
      <w:hyperlink r:id="rId239">
        <w:r>
          <w:rPr>
            <w:lang w:val="pt_PT" w:bidi="pt_PT"/>
          </w:rPr>
          <w:rPr>
            <w:color w:val="0000EE"/>
            <w:u w:val="single"/>
          </w:rPr>
          <w:t>Ap 20.3</w:t>
        </w:r>
      </w:hyperlink>
      <w:r>
        <w:rPr>
          <w:lang w:val="pt_PT" w:bidi="pt_PT"/>
        </w:rPr>
        <w:t>,</w:t>
      </w:r>
      <w:hyperlink r:id="rId24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hyperlink r:id="rId241">
        <w:r>
          <w:rPr>
            <w:lang w:val="pt_PT" w:bidi="pt_PT"/>
          </w:rPr>
          <w:rPr>
            <w:color w:val="0000EE"/>
            <w:u w:val="single"/>
          </w:rPr>
          <w:t>2Sm 24.1–25</w:t>
        </w:r>
      </w:hyperlink>
      <w:r>
        <w:rPr>
          <w:lang w:val="pt_PT" w:bidi="pt_PT"/>
        </w:rPr>
        <w:t>, mas tem um foco totalmente diferente. O relato do Cronista fornece o contexto para a dedicação do altar e os preparativos para a construção do Templo (</w:t>
      </w:r>
      <w:hyperlink r:id="rId202">
        <w:r>
          <w:rPr>
            <w:lang w:val="pt_PT" w:bidi="pt_PT"/>
          </w:rPr>
          <w:rPr>
            <w:color w:val="0000EE"/>
            <w:u w:val="single"/>
          </w:rPr>
          <w:t>1Cr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hyperlink r:id="rId242">
        <w:r>
          <w:rPr>
            <w:lang w:val="pt_PT" w:bidi="pt_PT"/>
          </w:rPr>
          <w:rPr>
            <w:color w:val="0000EE"/>
            <w:u w:val="single"/>
          </w:rPr>
          <w:t>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hyperlink r:id="rId243">
        <w:r>
          <w:rPr>
            <w:lang w:val="pt_PT" w:bidi="pt_PT"/>
          </w:rPr>
          <w:rPr>
            <w:color w:val="0000EE"/>
            <w:u w:val="single"/>
          </w:rPr>
          <w:t>2Sm 24.17</w:t>
        </w:r>
      </w:hyperlink>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hyperlink r:id="rId169">
        <w:r>
          <w:rPr>
            <w:lang w:val="pt_PT" w:bidi="pt_PT"/>
          </w:rPr>
          <w:rPr>
            <w:color w:val="0000EE"/>
            <w:u w:val="single"/>
          </w:rPr>
          <w:t>16.39</w:t>
        </w:r>
      </w:hyperlink>
      <w:r>
        <w:rPr>
          <w:lang w:val="pt_PT" w:bidi="pt_PT"/>
        </w:rPr>
        <w:t xml:space="preserve">;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hyperlink r:id="rId244">
        <w:r>
          <w:rPr>
            <w:lang w:val="pt_PT" w:bidi="pt_PT"/>
          </w:rPr>
          <w:rPr>
            <w:color w:val="0000EE"/>
            <w:u w:val="single"/>
          </w:rPr>
          <w:t>1Cr 21.18</w:t>
        </w:r>
      </w:hyperlink>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hyperlink r:id="rId245">
        <w:r>
          <w:rPr>
            <w:lang w:val="pt_PT" w:bidi="pt_PT"/>
          </w:rPr>
          <w:rPr>
            <w:color w:val="0000EE"/>
            <w:u w:val="single"/>
          </w:rPr>
          <w:t>17.11–12</w:t>
        </w:r>
      </w:hyperlink>
      <w:r>
        <w:rPr>
          <w:lang w:val="pt_PT" w:bidi="pt_PT"/>
        </w:rPr>
        <w:t>). Agora que o local havia sido escolhido (</w:t>
      </w:r>
      <w:hyperlink r:id="rId246">
        <w:r>
          <w:rPr>
            <w:lang w:val="pt_PT" w:bidi="pt_PT"/>
          </w:rPr>
          <w:rPr>
            <w:color w:val="0000EE"/>
            <w:u w:val="single"/>
          </w:rPr>
          <w:t>21.18–22.1</w:t>
        </w:r>
      </w:hyperlink>
      <w:r>
        <w:rPr>
          <w:lang w:val="pt_PT" w:bidi="pt_PT"/>
        </w:rPr>
        <w:t>), Davi fez preparativos para a construção do Templo de Deus. Ele reuniu os materiais (</w:t>
      </w:r>
      <w:hyperlink r:id="rId247">
        <w:r>
          <w:rPr>
            <w:lang w:val="pt_PT" w:bidi="pt_PT"/>
          </w:rPr>
          <w:rPr>
            <w:color w:val="0000EE"/>
            <w:u w:val="single"/>
          </w:rPr>
          <w:t>22.2–5</w:t>
        </w:r>
      </w:hyperlink>
      <w:r>
        <w:rPr>
          <w:lang w:val="pt_PT" w:bidi="pt_PT"/>
        </w:rPr>
        <w:t>) e encarregou tanto Salomão (</w:t>
      </w:r>
      <w:hyperlink r:id="rId248">
        <w:r>
          <w:rPr>
            <w:lang w:val="pt_PT" w:bidi="pt_PT"/>
          </w:rPr>
          <w:rPr>
            <w:color w:val="0000EE"/>
            <w:u w:val="single"/>
          </w:rPr>
          <w:t>22.6–16</w:t>
        </w:r>
      </w:hyperlink>
      <w:r>
        <w:rPr>
          <w:lang w:val="pt_PT" w:bidi="pt_PT"/>
        </w:rPr>
        <w:t>) quanto os líderes de Israel (</w:t>
      </w:r>
      <w:hyperlink r:id="rId249">
        <w:r>
          <w:rPr>
            <w:lang w:val="pt_PT" w:bidi="pt_PT"/>
          </w:rPr>
          <w:rPr>
            <w:color w:val="0000EE"/>
            <w:u w:val="single"/>
          </w:rPr>
          <w:t>22.17–19</w:t>
        </w:r>
      </w:hyperlink>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hyperlink r:id="rId250">
        <w:r>
          <w:rPr>
            <w:lang w:val="pt_PT" w:bidi="pt_PT"/>
          </w:rPr>
          <w:rPr>
            <w:color w:val="0000EE"/>
            <w:u w:val="single"/>
          </w:rPr>
          <w:t>29.1</w:t>
        </w:r>
      </w:hyperlink>
      <w:r>
        <w:rPr>
          <w:lang w:val="pt_PT" w:bidi="pt_PT"/>
        </w:rPr>
        <w:t xml:space="preserve">; cp. </w:t>
      </w:r>
      <w:hyperlink r:id="rId251">
        <w:r>
          <w:rPr>
            <w:lang w:val="pt_PT" w:bidi="pt_PT"/>
          </w:rPr>
          <w:rPr>
            <w:color w:val="0000EE"/>
            <w:u w:val="single"/>
          </w:rPr>
          <w:t>1Rs 3.7</w:t>
        </w:r>
      </w:hyperlink>
      <w:r>
        <w:rPr>
          <w:lang w:val="pt_PT" w:bidi="pt_PT"/>
        </w:rPr>
        <w:t xml:space="preserve">; </w:t>
      </w:r>
      <w:hyperlink r:id="rId252">
        <w:r>
          <w:rPr>
            <w:lang w:val="pt_PT" w:bidi="pt_PT"/>
          </w:rPr>
          <w:rPr>
            <w:color w:val="0000EE"/>
            <w:u w:val="single"/>
          </w:rPr>
          <w:t>2Cr 13.7</w:t>
        </w:r>
      </w:hyperlink>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hyperlink r:id="rId253">
        <w:r>
          <w:rPr>
            <w:lang w:val="pt_PT" w:bidi="pt_PT"/>
          </w:rPr>
          <w:rPr>
            <w:color w:val="0000EE"/>
            <w:u w:val="single"/>
          </w:rPr>
          <w:t>1Cr 28.11–12</w:t>
        </w:r>
      </w:hyperlink>
      <w:r>
        <w:rPr>
          <w:lang w:val="pt_PT" w:bidi="pt_PT"/>
        </w:rPr>
        <w:t xml:space="preserve">). Mais tarde, Deus proporcionou a Salomão a sabedoria necessária para construir o Templo e governar bem (veja </w:t>
      </w:r>
      <w:hyperlink r:id="rId254">
        <w:r>
          <w:rPr>
            <w:lang w:val="pt_PT" w:bidi="pt_PT"/>
          </w:rPr>
          <w:rPr>
            <w:color w:val="0000EE"/>
            <w:u w:val="single"/>
          </w:rPr>
          <w:t>2Cr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hyperlink r:id="rId255">
        <w:r>
          <w:rPr>
            <w:lang w:val="pt_PT" w:bidi="pt_PT"/>
          </w:rPr>
          <w:rPr>
            <w:color w:val="0000EE"/>
            <w:u w:val="single"/>
          </w:rPr>
          <w:t>1Rs 5.3–4</w:t>
        </w:r>
      </w:hyperlink>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6">
        <w:r>
          <w:rPr>
            <w:lang w:val="pt_PT" w:bidi="pt_PT"/>
          </w:rPr>
          <w:rPr>
            <w:color w:val="0000EE"/>
            <w:u w:val="single"/>
          </w:rPr>
          <w:t>1Cr 28.3</w:t>
        </w:r>
      </w:hyperlink>
      <w:r>
        <w:rPr>
          <w:lang w:val="pt_PT" w:bidi="pt_PT"/>
        </w:rPr>
        <w:t xml:space="preserve">; veja </w:t>
      </w:r>
      <w:hyperlink r:id="rId257">
        <w:r>
          <w:rPr>
            <w:lang w:val="pt_PT" w:bidi="pt_PT"/>
          </w:rPr>
          <w:rPr>
            <w:color w:val="0000EE"/>
            <w:u w:val="single"/>
          </w:rPr>
          <w:t>Gn 4.10–12</w:t>
        </w:r>
      </w:hyperlink>
      <w:r>
        <w:rPr>
          <w:lang w:val="pt_PT" w:bidi="pt_PT"/>
        </w:rPr>
        <w:t xml:space="preserve">; </w:t>
      </w:r>
      <w:hyperlink r:id="rId258">
        <w:r>
          <w:rPr>
            <w:lang w:val="pt_PT" w:bidi="pt_PT"/>
          </w:rPr>
          <w:rPr>
            <w:color w:val="0000EE"/>
            <w:u w:val="single"/>
          </w:rPr>
          <w:t>Lv 17.3–4</w:t>
        </w:r>
      </w:hyperlink>
      <w:r>
        <w:rPr>
          <w:lang w:val="pt_PT" w:bidi="pt_PT"/>
        </w:rPr>
        <w:t xml:space="preserve">; </w:t>
      </w:r>
      <w:hyperlink r:id="rId259">
        <w:r>
          <w:rPr>
            <w:lang w:val="pt_PT" w:bidi="pt_PT"/>
          </w:rPr>
          <w:rPr>
            <w:color w:val="0000EE"/>
            <w:u w:val="single"/>
          </w:rPr>
          <w:t>Dt 21.1–9</w:t>
        </w:r>
      </w:hyperlink>
      <w:r>
        <w:rPr>
          <w:lang w:val="pt_PT" w:bidi="pt_PT"/>
        </w:rPr>
        <w:t xml:space="preserve">; </w:t>
      </w:r>
      <w:hyperlink r:id="rId260">
        <w:r>
          <w:rPr>
            <w:lang w:val="pt_PT" w:bidi="pt_PT"/>
          </w:rPr>
          <w:rPr>
            <w:color w:val="0000EE"/>
            <w:u w:val="single"/>
          </w:rPr>
          <w:t>Mt 27.24–25</w:t>
        </w:r>
      </w:hyperlink>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hyperlink r:id="rId204">
        <w:r>
          <w:rPr>
            <w:lang w:val="pt_PT" w:bidi="pt_PT"/>
          </w:rPr>
          <w:rPr>
            <w:color w:val="0000EE"/>
            <w:u w:val="single"/>
          </w:rPr>
          <w:t>2Cr 2–7</w:t>
        </w:r>
      </w:hyperlink>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hyperlink r:id="rId261">
        <w:r>
          <w:rPr>
            <w:lang w:val="pt_PT" w:bidi="pt_PT"/>
          </w:rPr>
          <w:rPr>
            <w:color w:val="0000EE"/>
            <w:u w:val="single"/>
          </w:rPr>
          <w:t>1Rs 1</w:t>
        </w:r>
      </w:hyperlink>
      <w:r>
        <w:rPr>
          <w:lang w:val="pt_PT" w:bidi="pt_PT"/>
        </w:rPr>
        <w:t xml:space="preserve">), ele delineou a estrutura organizacional do reino e fez todas as provisões necessárias para o funcionamento do Templo. • O relato da coroação de Salomão continua em </w:t>
      </w:r>
      <w:hyperlink r:id="rId262">
        <w:r>
          <w:rPr>
            <w:lang w:val="pt_PT" w:bidi="pt_PT"/>
          </w:rPr>
          <w:rPr>
            <w:color w:val="0000EE"/>
            <w:u w:val="single"/>
          </w:rPr>
          <w:t>1Cr 28–29</w:t>
        </w:r>
      </w:hyperlink>
      <w:r>
        <w:rPr>
          <w:lang w:val="pt_PT" w:bidi="pt_PT"/>
        </w:rPr>
        <w:t>; os capítulos intermediários (</w:t>
      </w:r>
      <w:hyperlink r:id="rId263">
        <w:r>
          <w:rPr>
            <w:lang w:val="pt_PT" w:bidi="pt_PT"/>
          </w:rPr>
          <w:rPr>
            <w:color w:val="0000EE"/>
            <w:u w:val="single"/>
          </w:rPr>
          <w:t>23.3–27.24</w:t>
        </w:r>
      </w:hyperlink>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hyperlink r:id="rId266">
        <w:r>
          <w:rPr>
            <w:lang w:val="pt_PT" w:bidi="pt_PT"/>
          </w:rPr>
          <w:rPr>
            <w:color w:val="0000EE"/>
            <w:u w:val="single"/>
          </w:rPr>
          <w:t>23.3</w:t>
        </w:r>
      </w:hyperlink>
      <w:r>
        <w:rPr>
          <w:lang w:val="pt_PT" w:bidi="pt_PT"/>
        </w:rPr>
        <w:t xml:space="preserve">, os indivíduos foram contados aos trinta anos, mas o registro real das divisões incluía aqueles com vinte anos ou mais (cp. </w:t>
      </w:r>
      <w:hyperlink r:id="rId267">
        <w:r>
          <w:rPr>
            <w:lang w:val="pt_PT" w:bidi="pt_PT"/>
          </w:rPr>
          <w:rPr>
            <w:color w:val="0000EE"/>
            <w:u w:val="single"/>
          </w:rPr>
          <w:t>Nm 1.3</w:t>
        </w:r>
      </w:hyperlink>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68">
        <w:r>
          <w:rPr>
            <w:lang w:val="pt_PT" w:bidi="pt_PT"/>
          </w:rPr>
          <w:rPr>
            <w:color w:val="0000EE"/>
            <w:u w:val="single"/>
          </w:rPr>
          <w:t>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69">
        <w:r>
          <w:rPr>
            <w:lang w:val="pt_PT" w:bidi="pt_PT"/>
          </w:rPr>
          <w:rPr>
            <w:color w:val="0000EE"/>
            <w:u w:val="single"/>
          </w:rPr>
          <w:t>Êx 28.1–5</w:t>
        </w:r>
      </w:hyperlink>
      <w:r>
        <w:rPr>
          <w:lang w:val="pt_PT" w:bidi="pt_PT"/>
        </w:rPr>
        <w:t xml:space="preserve">; </w:t>
      </w:r>
      <w:hyperlink r:id="rId270">
        <w:r>
          <w:rPr>
            <w:lang w:val="pt_PT" w:bidi="pt_PT"/>
          </w:rPr>
          <w:rPr>
            <w:color w:val="0000EE"/>
            <w:u w:val="single"/>
          </w:rPr>
          <w:t>Lv 1–7</w:t>
        </w:r>
      </w:hyperlink>
      <w:r>
        <w:rPr>
          <w:lang w:val="pt_PT" w:bidi="pt_PT"/>
        </w:rPr>
        <w:t xml:space="preserve">; </w:t>
      </w:r>
      <w:hyperlink r:id="rId271">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hyperlink r:id="rId272">
        <w:r>
          <w:rPr>
            <w:lang w:val="pt_PT" w:bidi="pt_PT"/>
          </w:rPr>
          <w:rPr>
            <w:color w:val="0000EE"/>
            <w:u w:val="single"/>
          </w:rPr>
          <w:t>6.8</w:t>
        </w:r>
      </w:hyperlink>
      <w:r>
        <w:rPr>
          <w:lang w:val="pt_PT" w:bidi="pt_PT"/>
        </w:rPr>
        <w:t xml:space="preserve">; </w:t>
      </w:r>
      <w:hyperlink r:id="rId273">
        <w:r>
          <w:rPr>
            <w:lang w:val="pt_PT" w:bidi="pt_PT"/>
          </w:rPr>
          <w:rPr>
            <w:color w:val="0000EE"/>
            <w:u w:val="single"/>
          </w:rPr>
          <w:t>18.16</w:t>
        </w:r>
      </w:hyperlink>
      <w:r>
        <w:rPr>
          <w:lang w:val="pt_PT" w:bidi="pt_PT"/>
        </w:rPr>
        <w:t xml:space="preserve">; </w:t>
      </w:r>
      <w:hyperlink r:id="rId274">
        <w:r>
          <w:rPr>
            <w:lang w:val="pt_PT" w:bidi="pt_PT"/>
          </w:rPr>
          <w:rPr>
            <w:color w:val="0000EE"/>
            <w:u w:val="single"/>
          </w:rPr>
          <w:t>2Sm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hyperlink r:id="rId275">
        <w:r>
          <w:rPr>
            <w:lang w:val="pt_PT" w:bidi="pt_PT"/>
          </w:rPr>
          <w:rPr>
            <w:color w:val="0000EE"/>
            <w:u w:val="single"/>
          </w:rPr>
          <w:t>24.10</w:t>
        </w:r>
      </w:hyperlink>
      <w:r>
        <w:rPr>
          <w:lang w:val="pt_PT" w:bidi="pt_PT"/>
        </w:rPr>
        <w:t xml:space="preserve">) é especificamente mencionada em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hyperlink r:id="rId276">
        <w:r>
          <w:rPr>
            <w:lang w:val="pt_PT" w:bidi="pt_PT"/>
          </w:rPr>
          <w:rPr>
            <w:color w:val="0000EE"/>
            <w:u w:val="single"/>
          </w:rPr>
          <w:t>23.6–23</w:t>
        </w:r>
      </w:hyperlink>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hyperlink r:id="rId277">
        <w:r>
          <w:rPr>
            <w:lang w:val="pt_PT" w:bidi="pt_PT"/>
          </w:rPr>
          <w:rPr>
            <w:color w:val="0000EE"/>
            <w:u w:val="single"/>
          </w:rPr>
          <w:t>24.5–6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hyperlink r:id="rId278">
        <w:r>
          <w:rPr>
            <w:lang w:val="pt_PT" w:bidi="pt_PT"/>
          </w:rPr>
          <w:rPr>
            <w:color w:val="0000EE"/>
            <w:u w:val="single"/>
          </w:rPr>
          <w:t>6.39–40</w:t>
        </w:r>
      </w:hyperlink>
      <w:r>
        <w:rPr>
          <w:lang w:val="pt_PT" w:bidi="pt_PT"/>
        </w:rPr>
        <w:t xml:space="preserve">; </w:t>
      </w:r>
      <w:hyperlink r:id="rId279">
        <w:r>
          <w:rPr>
            <w:lang w:val="pt_PT" w:bidi="pt_PT"/>
          </w:rPr>
          <w:rPr>
            <w:color w:val="0000EE"/>
            <w:u w:val="single"/>
          </w:rPr>
          <w:t>15.17–19</w:t>
        </w:r>
      </w:hyperlink>
      <w:r>
        <w:rPr>
          <w:lang w:val="pt_PT" w:bidi="pt_PT"/>
        </w:rPr>
        <w:t xml:space="preserve">; </w:t>
      </w:r>
      <w:hyperlink r:id="rId280">
        <w:r>
          <w:rPr>
            <w:lang w:val="pt_PT" w:bidi="pt_PT"/>
          </w:rPr>
          <w:rPr>
            <w:color w:val="0000EE"/>
            <w:u w:val="single"/>
          </w:rPr>
          <w:t>16.5</w:t>
        </w:r>
      </w:hyperlink>
      <w:r>
        <w:rPr>
          <w:lang w:val="pt_PT" w:bidi="pt_PT"/>
        </w:rPr>
        <w:t xml:space="preserve">; </w:t>
      </w:r>
      <w:hyperlink r:id="rId281">
        <w:r>
          <w:rPr>
            <w:lang w:val="pt_PT" w:bidi="pt_PT"/>
          </w:rPr>
          <w:rPr>
            <w:color w:val="0000EE"/>
            <w:u w:val="single"/>
          </w:rPr>
          <w:t>2Cr 29.30</w:t>
        </w:r>
      </w:hyperlink>
      <w:r>
        <w:rPr>
          <w:lang w:val="pt_PT" w:bidi="pt_PT"/>
        </w:rPr>
        <w:t xml:space="preserve">; </w:t>
      </w:r>
      <w:hyperlink r:id="rId282">
        <w:r>
          <w:rPr>
            <w:lang w:val="pt_PT" w:bidi="pt_PT"/>
          </w:rPr>
          <w:rPr>
            <w:color w:val="0000EE"/>
            <w:u w:val="single"/>
          </w:rPr>
          <w:t>Ed 2.40–41</w:t>
        </w:r>
      </w:hyperlink>
      <w:r>
        <w:rPr>
          <w:lang w:val="pt_PT" w:bidi="pt_PT"/>
        </w:rPr>
        <w:t xml:space="preserve">; </w:t>
      </w:r>
      <w:hyperlink r:id="rId105">
        <w:r>
          <w:rPr>
            <w:lang w:val="pt_PT" w:bidi="pt_PT"/>
          </w:rPr>
          <w:rPr>
            <w:color w:val="0000EE"/>
            <w:u w:val="single"/>
          </w:rPr>
          <w:t>Sl 50</w:t>
        </w:r>
      </w:hyperlink>
      <w:r>
        <w:rPr>
          <w:lang w:val="pt_PT" w:bidi="pt_PT"/>
        </w:rPr>
        <w:t xml:space="preserve">; </w:t>
      </w:r>
      <w:hyperlink r:id="rId283">
        <w:r>
          <w:rPr>
            <w:lang w:val="pt_PT" w:bidi="pt_PT"/>
          </w:rPr>
          <w:rPr>
            <w:color w:val="0000EE"/>
            <w:u w:val="single"/>
          </w:rPr>
          <w:t>73</w:t>
        </w:r>
      </w:hyperlink>
      <w:r>
        <w:rPr>
          <w:lang w:val="pt_PT" w:bidi="pt_PT"/>
        </w:rPr>
        <w:t xml:space="preserve">-83.• Hemã: Veja </w:t>
      </w:r>
      <w:hyperlink r:id="rId284">
        <w:r>
          <w:rPr>
            <w:lang w:val="pt_PT" w:bidi="pt_PT"/>
          </w:rPr>
          <w:rPr>
            <w:color w:val="0000EE"/>
            <w:u w:val="single"/>
          </w:rPr>
          <w:t>1Cr 6.33–38</w:t>
        </w:r>
      </w:hyperlink>
      <w:r>
        <w:rPr>
          <w:lang w:val="pt_PT" w:bidi="pt_PT"/>
        </w:rPr>
        <w:t xml:space="preserve">; </w:t>
      </w:r>
      <w:hyperlink r:id="rId285">
        <w:r>
          <w:rPr>
            <w:lang w:val="pt_PT" w:bidi="pt_PT"/>
          </w:rPr>
          <w:rPr>
            <w:color w:val="0000EE"/>
            <w:u w:val="single"/>
          </w:rPr>
          <w:t>Sl 88</w:t>
        </w:r>
      </w:hyperlink>
      <w:r>
        <w:rPr>
          <w:lang w:val="pt_PT" w:bidi="pt_PT"/>
        </w:rPr>
        <w:t xml:space="preserve">. • Jedutum: Veja </w:t>
      </w:r>
      <w:hyperlink r:id="rId286">
        <w:r>
          <w:rPr>
            <w:lang w:val="pt_PT" w:bidi="pt_PT"/>
          </w:rPr>
          <w:rPr>
            <w:color w:val="0000EE"/>
            <w:u w:val="single"/>
          </w:rPr>
          <w:t>1Cr 16.41–42</w:t>
        </w:r>
      </w:hyperlink>
      <w:r>
        <w:rPr>
          <w:lang w:val="pt_PT" w:bidi="pt_PT"/>
        </w:rPr>
        <w:t xml:space="preserve">; </w:t>
      </w:r>
      <w:hyperlink r:id="rId287">
        <w:r>
          <w:rPr>
            <w:lang w:val="pt_PT" w:bidi="pt_PT"/>
          </w:rPr>
          <w:rPr>
            <w:color w:val="0000EE"/>
            <w:u w:val="single"/>
          </w:rPr>
          <w:t>2Cr 5.12</w:t>
        </w:r>
      </w:hyperlink>
      <w:r>
        <w:rPr>
          <w:lang w:val="pt_PT" w:bidi="pt_PT"/>
        </w:rPr>
        <w:t xml:space="preserve">; </w:t>
      </w:r>
      <w:hyperlink r:id="rId288">
        <w:r>
          <w:rPr>
            <w:lang w:val="pt_PT" w:bidi="pt_PT"/>
          </w:rPr>
          <w:rPr>
            <w:color w:val="0000EE"/>
            <w:u w:val="single"/>
          </w:rPr>
          <w:t>35.15</w:t>
        </w:r>
      </w:hyperlink>
      <w:r>
        <w:rPr>
          <w:lang w:val="pt_PT" w:bidi="pt_PT"/>
        </w:rPr>
        <w:t xml:space="preserve">; </w:t>
      </w:r>
      <w:hyperlink r:id="rId289">
        <w:r>
          <w:rPr>
            <w:lang w:val="pt_PT" w:bidi="pt_PT"/>
          </w:rPr>
          <w:rPr>
            <w:color w:val="0000EE"/>
            <w:u w:val="single"/>
          </w:rPr>
          <w:t>Sl 39;</w:t>
        </w:r>
      </w:hyperlink>
      <w:r>
        <w:rPr>
          <w:lang w:val="pt_PT" w:bidi="pt_PT"/>
        </w:rPr>
        <w:t xml:space="preserve"> </w:t>
      </w:r>
      <w:hyperlink r:id="rId290">
        <w:r>
          <w:rPr>
            <w:lang w:val="pt_PT" w:bidi="pt_PT"/>
          </w:rPr>
          <w:rPr>
            <w:color w:val="0000EE"/>
            <w:u w:val="single"/>
          </w:rPr>
          <w:t xml:space="preserve">62; </w:t>
        </w:r>
      </w:hyperlink>
      <w:hyperlink r:id="rId291">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hyperlink r:id="rId292">
        <w:r>
          <w:rPr>
            <w:lang w:val="pt_PT" w:bidi="pt_PT"/>
          </w:rPr>
          <w:rPr>
            <w:color w:val="0000EE"/>
            <w:u w:val="single"/>
          </w:rPr>
          <w:t>24.5</w:t>
        </w:r>
      </w:hyperlink>
      <w:r>
        <w:rPr>
          <w:lang w:val="pt_PT" w:bidi="pt_PT"/>
        </w:rPr>
        <w:t>,</w:t>
      </w:r>
      <w:hyperlink r:id="rId29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hyperlink r:id="rId294">
        <w:r>
          <w:rPr>
            <w:lang w:val="pt_PT" w:bidi="pt_PT"/>
          </w:rPr>
          <w:rPr>
            <w:color w:val="0000EE"/>
            <w:u w:val="single"/>
          </w:rPr>
          <w:t>Ed 2.42</w:t>
        </w:r>
      </w:hyperlink>
      <w:r>
        <w:rPr>
          <w:lang w:val="pt_PT" w:bidi="pt_PT"/>
        </w:rPr>
        <w:t xml:space="preserve">; “Mesulã” em </w:t>
      </w:r>
      <w:hyperlink r:id="rId295">
        <w:r>
          <w:rPr>
            <w:lang w:val="pt_PT" w:bidi="pt_PT"/>
          </w:rPr>
          <w:rPr>
            <w:color w:val="0000EE"/>
            <w:u w:val="single"/>
          </w:rPr>
          <w:t>Ne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hyperlink r:id="rId296">
        <w:r>
          <w:rPr>
            <w:lang w:val="pt_PT" w:bidi="pt_PT"/>
          </w:rPr>
          <w:rPr>
            <w:color w:val="0000EE"/>
            <w:u w:val="single"/>
          </w:rPr>
          <w:t>13.13–14</w:t>
        </w:r>
      </w:hyperlink>
      <w:r>
        <w:rPr>
          <w:lang w:val="pt_PT" w:bidi="pt_PT"/>
        </w:rPr>
        <w:t>), dando-lhe muitos descendentes (</w:t>
      </w:r>
      <w:hyperlink r:id="rId297">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hyperlink r:id="rId298">
        <w:r>
          <w:rPr>
            <w:lang w:val="pt_PT" w:bidi="pt_PT"/>
          </w:rPr>
          <w:rPr>
            <w:color w:val="0000EE"/>
            <w:u w:val="single"/>
          </w:rPr>
          <w:t>2Cr 24.11</w:t>
        </w:r>
      </w:hyperlink>
      <w:r>
        <w:rPr>
          <w:lang w:val="pt_PT" w:bidi="pt_PT"/>
        </w:rPr>
        <w:t xml:space="preserve">; </w:t>
      </w:r>
      <w:hyperlink r:id="rId299">
        <w:r>
          <w:rPr>
            <w:lang w:val="pt_PT" w:bidi="pt_PT"/>
          </w:rPr>
          <w:rPr>
            <w:color w:val="0000EE"/>
            <w:u w:val="single"/>
          </w:rPr>
          <w:t>31.12</w:t>
        </w:r>
      </w:hyperlink>
      <w:r>
        <w:rPr>
          <w:lang w:val="pt_PT" w:bidi="pt_PT"/>
        </w:rPr>
        <w:t>). Alguns despojos de guerra eram sempre dedicados a Deus (</w:t>
      </w:r>
      <w:hyperlink r:id="rId300">
        <w:r>
          <w:rPr>
            <w:lang w:val="pt_PT" w:bidi="pt_PT"/>
          </w:rPr>
          <w:rPr>
            <w:color w:val="0000EE"/>
            <w:u w:val="single"/>
          </w:rPr>
          <w:t>1Cr 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hyperlink r:id="rId301">
        <w:r>
          <w:rPr>
            <w:lang w:val="pt_PT" w:bidi="pt_PT"/>
          </w:rPr>
          <w:rPr>
            <w:color w:val="0000EE"/>
            <w:u w:val="single"/>
          </w:rPr>
          <w:t>Js 21.39</w:t>
        </w:r>
      </w:hyperlink>
      <w:r>
        <w:rPr>
          <w:lang w:val="pt_PT" w:bidi="pt_PT"/>
        </w:rPr>
        <w:t>) que se tornou um centro administrativo durante a monarquia. Davi e seus descendentes podiam contar com a lealdade dos levitas de Hebrom (</w:t>
      </w:r>
      <w:hyperlink r:id="rId302">
        <w:r>
          <w:rPr>
            <w:lang w:val="pt_PT" w:bidi="pt_PT"/>
          </w:rPr>
          <w:rPr>
            <w:color w:val="0000EE"/>
            <w:u w:val="single"/>
          </w:rPr>
          <w:t>1Sm 30.27–31</w:t>
        </w:r>
      </w:hyperlink>
      <w:r>
        <w:rPr>
          <w:lang w:val="pt_PT" w:bidi="pt_PT"/>
        </w:rPr>
        <w:t xml:space="preserve">; </w:t>
      </w:r>
      <w:hyperlink r:id="rId303">
        <w:r>
          <w:rPr>
            <w:lang w:val="pt_PT" w:bidi="pt_PT"/>
          </w:rPr>
          <w:rPr>
            <w:color w:val="0000EE"/>
            <w:u w:val="single"/>
          </w:rPr>
          <w:t>2Sm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hyperlink r:id="rId304">
        <w:r>
          <w:rPr>
            <w:lang w:val="pt_PT" w:bidi="pt_PT"/>
          </w:rPr>
          <w:rPr>
            <w:color w:val="0000EE"/>
            <w:u w:val="single"/>
          </w:rPr>
          <w:t>Nm 1.5–15</w:t>
        </w:r>
      </w:hyperlink>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hyperlink r:id="rId305">
        <w:r>
          <w:rPr>
            <w:lang w:val="pt_PT" w:bidi="pt_PT"/>
          </w:rPr>
          <w:rPr>
            <w:color w:val="0000EE"/>
            <w:u w:val="single"/>
          </w:rPr>
          <w:t>2.13</w:t>
        </w:r>
      </w:hyperlink>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hyperlink r:id="rId306">
        <w:r>
          <w:rPr>
            <w:lang w:val="pt_PT" w:bidi="pt_PT"/>
          </w:rPr>
          <w:rPr>
            <w:color w:val="0000EE"/>
            <w:u w:val="single"/>
          </w:rPr>
          <w:t>23.1–2</w:t>
        </w:r>
      </w:hyperlink>
      <w:r>
        <w:rPr>
          <w:lang w:val="pt_PT" w:bidi="pt_PT"/>
        </w:rPr>
        <w:t xml:space="preserve">. Davi é apresentado no auge de sua força ao transferir a autoridade para Salomão (cp. </w:t>
      </w:r>
      <w:hyperlink r:id="rId307">
        <w:r>
          <w:rPr>
            <w:lang w:val="pt_PT" w:bidi="pt_PT"/>
          </w:rPr>
          <w:rPr>
            <w:color w:val="0000EE"/>
            <w:u w:val="single"/>
          </w:rPr>
          <w:t>1Rs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hyperlink r:id="rId308">
        <w:r>
          <w:rPr>
            <w:lang w:val="pt_PT" w:bidi="pt_PT"/>
          </w:rPr>
          <w:rPr>
            <w:color w:val="0000EE"/>
            <w:u w:val="single"/>
          </w:rPr>
          <w:t>Dt 12.9</w:t>
        </w:r>
      </w:hyperlink>
      <w:r>
        <w:rPr>
          <w:lang w:val="pt_PT" w:bidi="pt_PT"/>
        </w:rPr>
        <w:t>). No deserto, a Arca repousava ao final da batalha (</w:t>
      </w:r>
      <w:hyperlink r:id="rId309">
        <w:r>
          <w:rPr>
            <w:lang w:val="pt_PT" w:bidi="pt_PT"/>
          </w:rPr>
          <w:rPr>
            <w:color w:val="0000EE"/>
            <w:u w:val="single"/>
          </w:rPr>
          <w:t>Nm 10.35–36</w:t>
        </w:r>
      </w:hyperlink>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hyperlink r:id="rId310">
        <w:r>
          <w:rPr>
            <w:lang w:val="pt_PT" w:bidi="pt_PT"/>
          </w:rPr>
          <w:rPr>
            <w:color w:val="0000EE"/>
            <w:u w:val="single"/>
          </w:rPr>
          <w:t>Sl 132.8</w:t>
        </w:r>
      </w:hyperlink>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hyperlink r:id="rId311">
        <w:r>
          <w:rPr>
            <w:lang w:val="pt_PT" w:bidi="pt_PT"/>
          </w:rPr>
          <w:rPr>
            <w:color w:val="0000EE"/>
            <w:u w:val="single"/>
          </w:rPr>
          <w:t>28.2–8</w:t>
        </w:r>
      </w:hyperlink>
      <w:r>
        <w:rPr>
          <w:lang w:val="pt_PT" w:bidi="pt_PT"/>
        </w:rPr>
        <w:t>) e uma mensagem para Salomão (</w:t>
      </w:r>
      <w:hyperlink r:id="rId312">
        <w:r>
          <w:rPr>
            <w:lang w:val="pt_PT" w:bidi="pt_PT"/>
          </w:rPr>
          <w:rPr>
            <w:color w:val="0000EE"/>
            <w:u w:val="single"/>
          </w:rPr>
          <w:t>28.9–10</w:t>
        </w:r>
      </w:hyperlink>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hyperlink r:id="rId313">
        <w:r>
          <w:rPr>
            <w:lang w:val="pt_PT" w:bidi="pt_PT"/>
          </w:rPr>
          <w:rPr>
            <w:color w:val="0000EE"/>
            <w:u w:val="single"/>
          </w:rPr>
          <w:t>Gn 49.8–12</w:t>
        </w:r>
      </w:hyperlink>
      <w:r>
        <w:rPr>
          <w:lang w:val="pt_PT" w:bidi="pt_PT"/>
        </w:rPr>
        <w:t>), culminou com Davi (</w:t>
      </w:r>
      <w:hyperlink r:id="rId314">
        <w:r>
          <w:rPr>
            <w:lang w:val="pt_PT" w:bidi="pt_PT"/>
          </w:rPr>
          <w:rPr>
            <w:color w:val="0000EE"/>
            <w:u w:val="single"/>
          </w:rPr>
          <w:t>1Sm 16.1–13</w:t>
        </w:r>
      </w:hyperlink>
      <w:r>
        <w:rPr>
          <w:lang w:val="pt_PT" w:bidi="pt_PT"/>
        </w:rPr>
        <w:t>), e continuou com Salomão (</w:t>
      </w:r>
      <w:hyperlink r:id="rId206">
        <w:r>
          <w:rPr>
            <w:lang w:val="pt_PT" w:bidi="pt_PT"/>
          </w:rPr>
          <w:rPr>
            <w:color w:val="0000EE"/>
            <w:u w:val="single"/>
          </w:rPr>
          <w:t>1Cr 28.5–6</w:t>
        </w:r>
      </w:hyperlink>
      <w:r>
        <w:rPr>
          <w:lang w:val="pt_PT" w:bidi="pt_PT"/>
        </w:rPr>
        <w:t>,</w:t>
      </w:r>
      <w:hyperlink r:id="rId315">
        <w:r>
          <w:rPr>
            <w:lang w:val="pt_PT" w:bidi="pt_PT"/>
          </w:rPr>
          <w:rPr>
            <w:color w:val="0000EE"/>
            <w:u w:val="single"/>
          </w:rPr>
          <w:t>10</w:t>
        </w:r>
      </w:hyperlink>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hyperlink r:id="rId316">
        <w:r>
          <w:rPr>
            <w:lang w:val="pt_PT" w:bidi="pt_PT"/>
          </w:rPr>
          <w:rPr>
            <w:color w:val="0000EE"/>
            <w:u w:val="single"/>
          </w:rPr>
          <w:t>28.19</w:t>
        </w:r>
      </w:hyperlink>
      <w:r>
        <w:rPr>
          <w:lang w:val="pt_PT" w:bidi="pt_PT"/>
        </w:rPr>
        <w:t>). Em outras ocasiões, Deus também forneceu planos para o Tabernáculo no deserto (</w:t>
      </w:r>
      <w:hyperlink r:id="rId317">
        <w:r>
          <w:rPr>
            <w:lang w:val="pt_PT" w:bidi="pt_PT"/>
          </w:rPr>
          <w:rPr>
            <w:color w:val="0000EE"/>
            <w:u w:val="single"/>
          </w:rPr>
          <w:t>Êx 25.9</w:t>
        </w:r>
      </w:hyperlink>
      <w:r>
        <w:rPr>
          <w:lang w:val="pt_PT" w:bidi="pt_PT"/>
        </w:rPr>
        <w:t>) e para o futuro Templo de Ezequiel (</w:t>
      </w:r>
      <w:hyperlink r:id="rId318">
        <w:r>
          <w:rPr>
            <w:lang w:val="pt_PT" w:bidi="pt_PT"/>
          </w:rPr>
          <w:rPr>
            <w:color w:val="0000EE"/>
            <w:u w:val="single"/>
          </w:rPr>
          <w:t>Ez 40.4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hyperlink r:id="rId319">
        <w:r>
          <w:rPr>
            <w:lang w:val="pt_PT" w:bidi="pt_PT"/>
          </w:rPr>
          <w:rPr>
            <w:color w:val="0000EE"/>
            <w:u w:val="single"/>
          </w:rPr>
          <w:t>Êx 25.18–22</w:t>
        </w:r>
      </w:hyperlink>
      <w:r>
        <w:rPr>
          <w:lang w:val="pt_PT" w:bidi="pt_PT"/>
        </w:rPr>
        <w:t xml:space="preserve">; </w:t>
      </w:r>
      <w:hyperlink r:id="rId320">
        <w:r>
          <w:rPr>
            <w:lang w:val="pt_PT" w:bidi="pt_PT"/>
          </w:rPr>
          <w:rPr>
            <w:color w:val="0000EE"/>
            <w:u w:val="single"/>
          </w:rPr>
          <w:t>2Sm 6.2</w:t>
        </w:r>
      </w:hyperlink>
      <w:r>
        <w:rPr>
          <w:lang w:val="pt_PT" w:bidi="pt_PT"/>
        </w:rPr>
        <w:t xml:space="preserve">; </w:t>
      </w:r>
      <w:hyperlink r:id="rId321">
        <w:r>
          <w:rPr>
            <w:lang w:val="pt_PT" w:bidi="pt_PT"/>
          </w:rPr>
          <w:rPr>
            <w:color w:val="0000EE"/>
            <w:u w:val="single"/>
          </w:rPr>
          <w:t>Sl 99.1</w:t>
        </w:r>
      </w:hyperlink>
      <w:r>
        <w:rPr>
          <w:lang w:val="pt_PT" w:bidi="pt_PT"/>
        </w:rPr>
        <w:t xml:space="preserve">; cp. </w:t>
      </w:r>
      <w:hyperlink r:id="rId322">
        <w:r>
          <w:rPr>
            <w:lang w:val="pt_PT" w:bidi="pt_PT"/>
          </w:rPr>
          <w:rPr>
            <w:color w:val="0000EE"/>
            <w:u w:val="single"/>
          </w:rPr>
          <w:t>Ez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hyperlink r:id="rId323">
        <w:r>
          <w:rPr>
            <w:lang w:val="pt_PT" w:bidi="pt_PT"/>
          </w:rPr>
          <w:rPr>
            <w:color w:val="0000EE"/>
            <w:u w:val="single"/>
          </w:rPr>
          <w:t>28.1</w:t>
        </w:r>
      </w:hyperlink>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4">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hyperlink r:id="rId325">
        <w:r>
          <w:rPr>
            <w:lang w:val="pt_PT" w:bidi="pt_PT"/>
          </w:rPr>
          <w:rPr>
            <w:color w:val="0000EE"/>
            <w:u w:val="single"/>
          </w:rPr>
          <w:t>Êx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hyperlink r:id="rId326">
        <w:r>
          <w:rPr>
            <w:lang w:val="pt_PT" w:bidi="pt_PT"/>
          </w:rPr>
          <w:rPr>
            <w:color w:val="0000EE"/>
            <w:u w:val="single"/>
          </w:rPr>
          <w:t>29.10b-13</w:t>
        </w:r>
      </w:hyperlink>
      <w:r>
        <w:rPr>
          <w:lang w:val="pt_PT" w:bidi="pt_PT"/>
        </w:rPr>
        <w:t>), a apresentação e dedicação das ofertas (</w:t>
      </w:r>
      <w:hyperlink r:id="rId327">
        <w:r>
          <w:rPr>
            <w:lang w:val="pt_PT" w:bidi="pt_PT"/>
          </w:rPr>
          <w:rPr>
            <w:color w:val="0000EE"/>
            <w:u w:val="single"/>
          </w:rPr>
          <w:t>29.14–17</w:t>
        </w:r>
      </w:hyperlink>
      <w:r>
        <w:rPr>
          <w:lang w:val="pt_PT" w:bidi="pt_PT"/>
        </w:rPr>
        <w:t>), e a petição (</w:t>
      </w:r>
      <w:hyperlink r:id="rId328">
        <w:r>
          <w:rPr>
            <w:lang w:val="pt_PT" w:bidi="pt_PT"/>
          </w:rPr>
          <w:rPr>
            <w:color w:val="0000EE"/>
            <w:u w:val="single"/>
          </w:rPr>
          <w:t>29.18–19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hyperlink r:id="rId329">
        <w:r>
          <w:rPr>
            <w:lang w:val="pt_PT" w:bidi="pt_PT"/>
          </w:rPr>
          <w:rPr>
            <w:color w:val="0000EE"/>
            <w:u w:val="single"/>
          </w:rPr>
          <w:t>Ez 40.46</w:t>
        </w:r>
      </w:hyperlink>
      <w:r>
        <w:rPr>
          <w:lang w:val="pt_PT" w:bidi="pt_PT"/>
        </w:rPr>
        <w:t xml:space="preserve">; </w:t>
      </w:r>
      <w:hyperlink r:id="rId330">
        <w:r>
          <w:rPr>
            <w:lang w:val="pt_PT" w:bidi="pt_PT"/>
          </w:rPr>
          <w:rPr>
            <w:color w:val="0000EE"/>
            <w:u w:val="single"/>
          </w:rPr>
          <w:t>43.19</w:t>
        </w:r>
      </w:hyperlink>
      <w:r>
        <w:rPr>
          <w:lang w:val="pt_PT" w:bidi="pt_PT"/>
        </w:rPr>
        <w:t xml:space="preserve">; </w:t>
      </w:r>
      <w:hyperlink r:id="rId331">
        <w:r>
          <w:rPr>
            <w:lang w:val="pt_PT" w:bidi="pt_PT"/>
          </w:rPr>
          <w:rPr>
            <w:color w:val="0000EE"/>
            <w:u w:val="single"/>
          </w:rPr>
          <w:t>44.15</w:t>
        </w:r>
      </w:hyperlink>
      <w:r>
        <w:rPr>
          <w:lang w:val="pt_PT" w:bidi="pt_PT"/>
        </w:rPr>
        <w:t xml:space="preserve">; </w:t>
      </w:r>
      <w:hyperlink r:id="rId332">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hyperlink r:id="rId333">
        <w:r>
          <w:rPr>
            <w:lang w:val="pt_PT" w:bidi="pt_PT"/>
          </w:rPr>
          <w:rPr>
            <w:color w:val="0000EE"/>
            <w:u w:val="single"/>
          </w:rPr>
          <w:t>1Rs 22.41–50</w:t>
        </w:r>
      </w:hyperlink>
      <w:r>
        <w:rPr>
          <w:lang w:val="pt_PT" w:bidi="pt_PT"/>
        </w:rPr>
        <w:t>). Assim como Abraão (</w:t>
      </w:r>
      <w:hyperlink r:id="rId334">
        <w:r>
          <w:rPr>
            <w:lang w:val="pt_PT" w:bidi="pt_PT"/>
          </w:rPr>
          <w:rPr>
            <w:color w:val="0000EE"/>
            <w:u w:val="single"/>
          </w:rPr>
          <w:t>Gn 25.8</w:t>
        </w:r>
      </w:hyperlink>
      <w:r>
        <w:rPr>
          <w:lang w:val="pt_PT" w:bidi="pt_PT"/>
        </w:rPr>
        <w:t>) e Isaque (</w:t>
      </w:r>
      <w:hyperlink r:id="rId335">
        <w:r>
          <w:rPr>
            <w:lang w:val="pt_PT" w:bidi="pt_PT"/>
          </w:rPr>
          <w:rPr>
            <w:color w:val="0000EE"/>
            <w:u w:val="single"/>
          </w:rPr>
          <w:t>Gn 35.29</w:t>
        </w:r>
      </w:hyperlink>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hyperlink r:id="rId150">
        <w:r>
          <w:rPr>
            <w:lang w:val="pt_PT" w:bidi="pt_PT"/>
          </w:rPr>
          <w:rPr>
            <w:color w:val="0000EE"/>
            <w:u w:val="single"/>
          </w:rPr>
          <w:t>11.3</w:t>
        </w:r>
      </w:hyperlink>
      <w:r>
        <w:rPr>
          <w:lang w:val="pt_PT" w:bidi="pt_PT"/>
        </w:rPr>
        <w:t>), Natã (</w:t>
      </w:r>
      <w:hyperlink r:id="rId336">
        <w:r>
          <w:rPr>
            <w:lang w:val="pt_PT" w:bidi="pt_PT"/>
          </w:rPr>
          <w:rPr>
            <w:color w:val="0000EE"/>
            <w:u w:val="single"/>
          </w:rPr>
          <w:t>17.1–27</w:t>
        </w:r>
      </w:hyperlink>
      <w:r>
        <w:rPr>
          <w:lang w:val="pt_PT" w:bidi="pt_PT"/>
        </w:rPr>
        <w:t>) e Gade (</w:t>
      </w:r>
      <w:hyperlink r:id="rId337">
        <w:r>
          <w:rPr>
            <w:lang w:val="pt_PT" w:bidi="pt_PT"/>
          </w:rPr>
          <w:rPr>
            <w:color w:val="0000EE"/>
            <w:u w:val="single"/>
          </w:rPr>
          <w:t>21.9</w:t>
        </w:r>
      </w:hyperlink>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hyperlink r:id="rId338">
        <w:r>
          <w:rPr>
            <w:lang w:val="pt_PT" w:bidi="pt_PT"/>
          </w:rPr>
          <w:rPr>
            <w:color w:val="0000EE"/>
            <w:u w:val="single"/>
          </w:rPr>
          <w:t>1Rs 11.41–43</w:t>
        </w:r>
      </w:hyperlink>
      <w:r>
        <w:rPr>
          <w:lang w:val="pt_PT" w:bidi="pt_PT"/>
        </w:rPr>
        <w:t xml:space="preserve">; </w:t>
      </w:r>
      <w:hyperlink r:id="rId339">
        <w:r>
          <w:rPr>
            <w:lang w:val="pt_PT" w:bidi="pt_PT"/>
          </w:rPr>
          <w:rPr>
            <w:color w:val="0000EE"/>
            <w:u w:val="single"/>
          </w:rPr>
          <w:t>14.19–20</w:t>
        </w:r>
      </w:hyperlink>
      <w:r>
        <w:rPr>
          <w:lang w:val="pt_PT" w:bidi="pt_PT"/>
        </w:rPr>
        <w:t>,</w:t>
      </w:r>
      <w:hyperlink r:id="rId340">
        <w:r>
          <w:rPr>
            <w:lang w:val="pt_PT" w:bidi="pt_PT"/>
          </w:rPr>
          <w:rPr>
            <w:color w:val="0000EE"/>
            <w:u w:val="single"/>
          </w:rPr>
          <w:t>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