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JUD</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يهوذا 1: 1</w:t>
      </w:r>
      <w:r>
        <w:rPr>
          <w:rtl/>
          <w:cs/>
          <w:lang w:val="ar_AE" w:bidi="ar_AE"/>
        </w:rPr>
      </w:r>
    </w:p>
    <w:p>
      <w:pPr>
        <w:pStyle w:val="ListBullet"/>
        <w:bidi/>
        <w:spacing w:line="240" w:lineRule="auto"/>
        <w:ind w:left="720"/>
      </w:pPr>
      <w:r>
        <w:rPr>
          <w:rtl/>
          <w:cs/>
          <w:lang w:val="ar_AE" w:bidi="ar_AE"/>
        </w:rPr>
      </w:r>
      <w:r>
        <w:rPr>
          <w:rtl/>
          <w:cs/>
          <w:lang w:val="ar_AE" w:bidi="ar_AE"/>
        </w:rPr>
        <w:t>يهوذا: كان اسمًا شائعًا. ويهوذا هذا كان أخًا ليعقوب، الذي كان أيضًا أخًا ليسوع (انظر مقدمة رسالة يهوذا، "الكاتب").</w:t>
      </w:r>
    </w:p>
    <w:p>
      <w:pPr>
        <w:pStyle w:val="ListBullet"/>
        <w:bidi/>
        <w:spacing w:line="240" w:lineRule="auto"/>
        <w:ind w:left="720"/>
      </w:pPr>
      <w:r>
        <w:rPr>
          <w:rtl/>
          <w:cs/>
          <w:lang w:val="ar_AE" w:bidi="ar_AE"/>
        </w:rPr>
      </w:r>
      <w:r>
        <w:rPr>
          <w:i/>
          <w:rtl/>
          <w:cs/>
          <w:lang w:val="ar_AE" w:bidi="ar_AE"/>
        </w:rPr>
        <w:t>عَبْدُ يَسُوعَ الْمَسِيحِ</w:t>
      </w:r>
      <w:r>
        <w:rPr>
          <w:rtl/>
          <w:cs/>
          <w:lang w:val="ar_AE" w:bidi="ar_AE"/>
        </w:rPr>
        <w:t xml:space="preserve">: يشير يهوذا إلى أنه يتبع يسوع في جميع جوانب الحياة. ويظهر هذا اللقب أيضًا المكانة. حيث كان القادة البارزون في العهد القديم يُدعوّن </w:t>
      </w:r>
      <w:r>
        <w:rPr>
          <w:i/>
          <w:rtl/>
          <w:cs/>
          <w:lang w:val="ar_AE" w:bidi="ar_AE"/>
        </w:rPr>
        <w:t>عبيد</w:t>
      </w:r>
      <w:r>
        <w:rPr>
          <w:rtl/>
          <w:cs/>
          <w:lang w:val="ar_AE" w:bidi="ar_AE"/>
        </w:rPr>
        <w:t xml:space="preserve"> أو </w:t>
      </w:r>
      <w:r>
        <w:rPr>
          <w:i/>
          <w:rtl/>
          <w:cs/>
          <w:lang w:val="ar_AE" w:bidi="ar_AE"/>
        </w:rPr>
        <w:t>خدام</w:t>
      </w:r>
      <w:r>
        <w:rPr>
          <w:rtl/>
          <w:cs/>
          <w:lang w:val="ar_AE" w:bidi="ar_AE"/>
        </w:rPr>
        <w:t xml:space="preserve"> الله (انظر </w:t>
      </w:r>
      <w:r>
        <w:rPr>
          <w:rtl/>
          <w:cs/>
          <w:lang w:val="ar_AE" w:bidi="ar_AE"/>
        </w:rPr>
        <w:t>يشوع 14:7</w:t>
      </w:r>
      <w:r>
        <w:rPr>
          <w:rtl/>
          <w:cs/>
          <w:lang w:val="ar_AE" w:bidi="ar_AE"/>
        </w:rPr>
        <w:t xml:space="preserve">; </w:t>
      </w:r>
      <w:r>
        <w:rPr>
          <w:rtl/>
          <w:cs/>
          <w:lang w:val="ar_AE" w:bidi="ar_AE"/>
        </w:rPr>
        <w:t>2 ملوك 18:12</w:t>
      </w:r>
      <w:r>
        <w:rPr>
          <w:rtl/>
          <w:cs/>
          <w:lang w:val="ar_AE" w:bidi="ar_AE"/>
        </w:rPr>
        <w:t xml:space="preserve">; </w:t>
      </w:r>
      <w:r>
        <w:rPr>
          <w:rtl/>
          <w:cs/>
          <w:lang w:val="ar_AE" w:bidi="ar_AE"/>
        </w:rPr>
        <w:t>حزقيال 34:23</w:t>
      </w:r>
      <w:r>
        <w:rPr>
          <w:rtl/>
          <w:cs/>
          <w:lang w:val="ar_AE" w:bidi="ar_AE"/>
        </w:rPr>
        <w:t>).</w:t>
      </w:r>
    </w:p>
    <w:p>
      <w:pPr>
        <w:pStyle w:val="ListBullet"/>
        <w:bidi/>
        <w:spacing w:line="240" w:lineRule="auto"/>
        <w:ind w:left="720"/>
      </w:pPr>
      <w:r>
        <w:rPr>
          <w:rtl/>
          <w:cs/>
          <w:lang w:val="ar_AE" w:bidi="ar_AE"/>
        </w:rPr>
      </w:r>
      <w:r>
        <w:rPr>
          <w:i/>
          <w:rtl/>
          <w:cs/>
          <w:lang w:val="ar_AE" w:bidi="ar_AE"/>
        </w:rPr>
        <w:t>إِلَى الْمَدْعُوِّينَ</w:t>
      </w:r>
      <w:r>
        <w:rPr>
          <w:rtl/>
          <w:cs/>
          <w:lang w:val="ar_AE" w:bidi="ar_AE"/>
        </w:rPr>
        <w:t>: لا نعرف بالضبط لمن كتب يهوذا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w:t>
      </w:r>
      <w:r>
        <w:rPr>
          <w:rtl/>
          <w:cs/>
          <w:lang w:val="ar_AE" w:bidi="ar_AE"/>
        </w:rPr>
      </w:r>
    </w:p>
    <w:p>
      <w:pPr>
        <w:pStyle w:val="ListBullet"/>
        <w:bidi/>
        <w:spacing w:line="240" w:lineRule="auto"/>
        <w:ind w:left="720"/>
      </w:pPr>
      <w:r>
        <w:rPr>
          <w:rtl/>
          <w:cs/>
          <w:lang w:val="ar_AE" w:bidi="ar_AE"/>
        </w:rPr>
      </w:r>
      <w:r>
        <w:rPr>
          <w:rtl/>
          <w:cs/>
          <w:lang w:val="ar_AE" w:bidi="ar_AE"/>
        </w:rPr>
        <w:t>وفقًا للبنية النموذجية لبداية الرسالة، يقوم يهوذا بتعريف نفسه، ويخاطب جمهوره، ويصلي من أجلهم.</w:t>
      </w:r>
    </w:p>
    <w:p>
      <w:pPr>
        <w:pStyle w:val="ListBullet"/>
        <w:bidi/>
        <w:spacing w:line="240" w:lineRule="auto"/>
        <w:ind w:left="720"/>
      </w:pPr>
      <w:r>
        <w:rPr>
          <w:rtl/>
          <w:cs/>
          <w:lang w:val="ar_AE" w:bidi="ar_AE"/>
        </w:rPr>
      </w:r>
      <w:r>
        <w:rPr>
          <w:i/>
          <w:rtl/>
          <w:cs/>
          <w:lang w:val="ar_AE" w:bidi="ar_AE"/>
        </w:rPr>
        <w:t>وَالْمَحْفُوظِينَ لِيَسُوعَ الْمَسِيحِ</w:t>
      </w:r>
      <w:r>
        <w:rPr>
          <w:rtl/>
          <w:cs/>
          <w:lang w:val="ar_AE" w:bidi="ar_AE"/>
        </w:rPr>
        <w:t xml:space="preserve">: هذه العبارة تؤكد على نقطة جوهرية (انظر أيضًا </w:t>
      </w:r>
      <w:r>
        <w:rPr>
          <w:rtl/>
          <w:cs/>
          <w:lang w:val="ar_AE" w:bidi="ar_AE"/>
        </w:rPr>
        <w:t>1:21</w:t>
      </w:r>
      <w:r>
        <w:rPr>
          <w:rtl/>
          <w:cs/>
          <w:lang w:val="ar_AE" w:bidi="ar_AE"/>
        </w:rPr>
        <w:t xml:space="preserve">, </w:t>
      </w:r>
      <w:r>
        <w:rPr>
          <w:rtl/>
          <w:cs/>
          <w:lang w:val="ar_AE" w:bidi="ar_AE"/>
        </w:rPr>
        <w:t>24</w:t>
      </w:r>
      <w:r>
        <w:rPr>
          <w:rtl/>
          <w:cs/>
          <w:lang w:val="ar_AE" w:bidi="ar_AE"/>
        </w:rPr>
        <w:t>). إنها تمنح المؤمنين الثقة عند مواجهة أشخاص ينشرون معلومات خاطئة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w:t>
      </w:r>
      <w:r>
        <w:rPr>
          <w:rtl/>
          <w:cs/>
          <w:lang w:val="ar_AE" w:bidi="ar_AE"/>
        </w:rPr>
      </w:r>
    </w:p>
    <w:p>
      <w:pPr>
        <w:bidi/>
      </w:pPr>
      <w:r>
        <w:rPr>
          <w:rtl/>
          <w:cs/>
          <w:lang w:val="ar_AE" w:bidi="ar_AE"/>
        </w:rPr>
      </w:r>
      <w:r>
        <w:rPr>
          <w:rtl/>
          <w:cs/>
          <w:lang w:val="ar_AE" w:bidi="ar_AE"/>
        </w:rPr>
        <w:t>في العهد الجديد، عادةً ما يُقصد بكلمة "إيمان" فعل التصديق، في حين تشير كلمة "الإيمان" إلى المعتقدات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3–4</w:t>
      </w:r>
      <w:r>
        <w:rPr>
          <w:rtl/>
          <w:cs/>
          <w:lang w:val="ar_AE" w:bidi="ar_AE"/>
        </w:rPr>
      </w:r>
    </w:p>
    <w:p>
      <w:pPr>
        <w:bidi/>
      </w:pPr>
      <w:r>
        <w:rPr>
          <w:rtl/>
          <w:cs/>
          <w:lang w:val="ar_AE" w:bidi="ar_AE"/>
        </w:rPr>
      </w:r>
      <w:r>
        <w:rPr>
          <w:rtl/>
          <w:cs/>
          <w:lang w:val="ar_AE" w:bidi="ar_AE"/>
        </w:rPr>
        <w:t xml:space="preserve">بدلًا من الشكر المعتاد الذي يُذكر عادة في هذه النقطة في رسائل العهد الجديد، يوضح يهوذا هدفه الرئيسي (انظر </w:t>
      </w:r>
      <w:r>
        <w:rPr>
          <w:rtl/>
          <w:cs/>
          <w:lang w:val="ar_AE" w:bidi="ar_AE"/>
        </w:rPr>
        <w:t>رومية 1:8–14</w:t>
      </w:r>
      <w:r>
        <w:rPr>
          <w:rtl/>
          <w:cs/>
          <w:lang w:val="ar_AE" w:bidi="ar_AE"/>
        </w:rPr>
        <w:t xml:space="preserve">؛ </w:t>
      </w:r>
      <w:r>
        <w:rPr>
          <w:rtl/>
          <w:cs/>
          <w:lang w:val="ar_AE" w:bidi="ar_AE"/>
        </w:rPr>
        <w:t>1 كورنثوس 1:4–9</w:t>
      </w:r>
      <w:r>
        <w:rPr>
          <w:rtl/>
          <w:cs/>
          <w:lang w:val="ar_AE" w:bidi="ar_AE"/>
        </w:rPr>
        <w:t xml:space="preserve">). فقد كانت التعاليم الكاذبة تشكل تهديدًا خطيرًا لإيمان الأشخاص الذين كان يكتب إليهم (انظر </w:t>
      </w:r>
      <w:r>
        <w:rPr>
          <w:rtl/>
          <w:cs/>
          <w:lang w:val="ar_AE" w:bidi="ar_AE"/>
        </w:rPr>
        <w:t>يهوذا 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w:t>
      </w:r>
      <w:r>
        <w:rPr>
          <w:rtl/>
          <w:cs/>
          <w:lang w:val="ar_AE" w:bidi="ar_AE"/>
        </w:rPr>
      </w:r>
    </w:p>
    <w:p>
      <w:pPr>
        <w:bidi/>
      </w:pPr>
      <w:r>
        <w:rPr>
          <w:rtl/>
          <w:cs/>
          <w:lang w:val="ar_AE" w:bidi="ar_AE"/>
        </w:rPr>
      </w:r>
      <w:r>
        <w:rPr>
          <w:rtl/>
          <w:cs/>
          <w:lang w:val="ar_AE" w:bidi="ar_AE"/>
        </w:rPr>
        <w:t xml:space="preserve">نعمة الله العظيمة قد تُغري البعض لإساءة استخدامها بالقول إنها تتيح لنا القيام بالأمور الخاطئة (انظر </w:t>
      </w:r>
      <w:r>
        <w:rPr>
          <w:rtl/>
          <w:cs/>
          <w:lang w:val="ar_AE" w:bidi="ar_AE"/>
        </w:rPr>
        <w:t>رومية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w:t>
      </w:r>
      <w:r>
        <w:rPr>
          <w:rtl/>
          <w:cs/>
          <w:lang w:val="ar_AE" w:bidi="ar_AE"/>
        </w:rPr>
      </w:r>
    </w:p>
    <w:p>
      <w:pPr>
        <w:pStyle w:val="ListBullet"/>
        <w:bidi/>
        <w:spacing w:line="240" w:lineRule="auto"/>
        <w:ind w:left="720"/>
      </w:pPr>
      <w:r>
        <w:rPr>
          <w:rtl/>
          <w:cs/>
          <w:lang w:val="ar_AE" w:bidi="ar_AE"/>
        </w:rPr>
      </w:r>
      <w:r>
        <w:rPr>
          <w:rtl/>
          <w:cs/>
          <w:lang w:val="ar_AE" w:bidi="ar_AE"/>
        </w:rPr>
        <w:t xml:space="preserve">كان يسوع موجودًا قبل ولادته وأنقذ شعب إسرائيل من مصر. وفيما بعد، عاقب الذين لم يؤمنوا (انظر </w:t>
      </w:r>
      <w:r>
        <w:rPr>
          <w:rtl/>
          <w:cs/>
          <w:lang w:val="ar_AE" w:bidi="ar_AE"/>
        </w:rPr>
        <w:t>1 كورنثوس 10:4</w:t>
      </w:r>
      <w:r>
        <w:rPr>
          <w:rtl/>
          <w:cs/>
          <w:lang w:val="ar_AE" w:bidi="ar_AE"/>
        </w:rPr>
        <w:t>).</w:t>
      </w:r>
    </w:p>
    <w:p>
      <w:pPr>
        <w:pStyle w:val="ListBullet"/>
        <w:bidi/>
        <w:spacing w:line="240" w:lineRule="auto"/>
        <w:ind w:left="720"/>
      </w:pPr>
      <w:r>
        <w:rPr>
          <w:rtl/>
          <w:cs/>
          <w:lang w:val="ar_AE" w:bidi="ar_AE"/>
        </w:rPr>
      </w:r>
      <w:r>
        <w:rPr>
          <w:i/>
          <w:rtl/>
          <w:cs/>
          <w:lang w:val="ar_AE" w:bidi="ar_AE"/>
        </w:rPr>
        <w:t>أَنَّ الرَّبَّ بَعْدَمَا خَلَّصَ الشَّعْبَ مِنْ أَرْضِ مِصْرَ، أَهْلَكَ أَيْضًا الَّذِينَ لَمْ يُؤْمِنُوا:</w:t>
      </w:r>
      <w:r>
        <w:rPr>
          <w:rtl/>
          <w:cs/>
          <w:lang w:val="ar_AE" w:bidi="ar_AE"/>
        </w:rPr>
        <w:t xml:space="preserve"> لم يثق معظم الناس في أن الله سيحميهم. ولأنهم لم يؤمنوا، جعل الله ذلك الجيل (باستثناء يشوع وكالب) يتوه في البرية حتى ماتوا (انظر </w:t>
      </w:r>
      <w:r>
        <w:rPr>
          <w:rtl/>
          <w:cs/>
          <w:lang w:val="ar_AE" w:bidi="ar_AE"/>
        </w:rPr>
        <w:t>العدد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5–16</w:t>
      </w:r>
      <w:r>
        <w:rPr>
          <w:rtl/>
          <w:cs/>
          <w:lang w:val="ar_AE" w:bidi="ar_AE"/>
        </w:rPr>
      </w:r>
    </w:p>
    <w:p>
      <w:pPr>
        <w:bidi/>
      </w:pPr>
      <w:r>
        <w:rPr>
          <w:rtl/>
          <w:cs/>
          <w:lang w:val="ar_AE" w:bidi="ar_AE"/>
        </w:rPr>
      </w:r>
      <w:r>
        <w:rPr>
          <w:rtl/>
          <w:cs/>
          <w:lang w:val="ar_AE" w:bidi="ar_AE"/>
        </w:rPr>
        <w:t xml:space="preserve">هذا الجزء يوضح "قَدْ كُتِبُوا مُنْذُ الْقَدِيمِ لِهذِهِ الدَّيْنُونَةِ" في </w:t>
      </w:r>
      <w:r>
        <w:rPr>
          <w:rtl/>
          <w:cs/>
          <w:lang w:val="ar_AE" w:bidi="ar_AE"/>
        </w:rPr>
        <w:t>1:4</w:t>
      </w:r>
      <w:r>
        <w:rPr>
          <w:rtl/>
          <w:cs/>
          <w:lang w:val="ar_AE" w:bidi="ar_AE"/>
        </w:rPr>
        <w:t xml:space="preserve"> بواسطة أمثلة من العهد القديم لدينونة الله على المُعَلِّمين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w:t>
      </w:r>
      <w:r>
        <w:rPr>
          <w:rtl/>
          <w:cs/>
          <w:lang w:val="ar_AE" w:bidi="ar_AE"/>
        </w:rPr>
      </w:r>
    </w:p>
    <w:p>
      <w:pPr>
        <w:bidi/>
      </w:pPr>
      <w:r>
        <w:rPr>
          <w:rtl/>
          <w:cs/>
          <w:lang w:val="ar_AE" w:bidi="ar_AE"/>
        </w:rPr>
      </w:r>
      <w:r>
        <w:rPr>
          <w:rtl/>
          <w:cs/>
          <w:lang w:val="ar_AE" w:bidi="ar_AE"/>
        </w:rPr>
        <w:t xml:space="preserve">قد يشير تعبير الملائكة إلى سقوط الشيطان والملائكة الذين تبعوه، لكن لا يوجد مقطع في العهد القديم يصف هذا الحدث بوضوح (انظر ملاحظات الدراسة على </w:t>
      </w:r>
      <w:r>
        <w:rPr>
          <w:rtl/>
          <w:cs/>
          <w:lang w:val="ar_AE" w:bidi="ar_AE"/>
        </w:rPr>
        <w:t>إشعياء 14:12–17</w:t>
      </w:r>
      <w:r>
        <w:rPr>
          <w:rtl/>
          <w:cs/>
          <w:lang w:val="ar_AE" w:bidi="ar_AE"/>
        </w:rPr>
        <w:t xml:space="preserve">; </w:t>
      </w:r>
      <w:r>
        <w:rPr>
          <w:rtl/>
          <w:cs/>
          <w:lang w:val="ar_AE" w:bidi="ar_AE"/>
        </w:rPr>
        <w:t>حزقيال 28:12–19</w:t>
      </w:r>
      <w:r>
        <w:rPr>
          <w:rtl/>
          <w:cs/>
          <w:lang w:val="ar_AE" w:bidi="ar_AE"/>
        </w:rPr>
        <w:t xml:space="preserve">). وربما كان يهوذا يشير إلى </w:t>
      </w:r>
      <w:r>
        <w:rPr>
          <w:rtl/>
          <w:cs/>
          <w:lang w:val="ar_AE" w:bidi="ar_AE"/>
        </w:rPr>
        <w:t>تكوين 6:1–4</w:t>
      </w:r>
      <w:r>
        <w:rPr>
          <w:rtl/>
          <w:cs/>
          <w:lang w:val="ar_AE" w:bidi="ar_AE"/>
        </w:rPr>
        <w:t xml:space="preserve">. وقد فهم التقليد اليهودي "أبناء الله" في </w:t>
      </w:r>
      <w:r>
        <w:rPr>
          <w:rtl/>
          <w:cs/>
          <w:lang w:val="ar_AE" w:bidi="ar_AE"/>
        </w:rPr>
        <w:t>تكوين 6</w:t>
      </w:r>
      <w:r>
        <w:rPr>
          <w:rtl/>
          <w:cs/>
          <w:lang w:val="ar_AE" w:bidi="ar_AE"/>
        </w:rPr>
        <w:t xml:space="preserve"> على أنهم ملائكة أشرار. كما كانوا يعتقدون أن الله عاقب هؤلاء الملائكة لأنهم أقاموا علاقات جنسية مع النساء (انظر </w:t>
      </w:r>
      <w:r>
        <w:rPr>
          <w:i/>
          <w:rtl/>
          <w:cs/>
          <w:lang w:val="ar_AE" w:bidi="ar_AE"/>
        </w:rPr>
        <w:t>1 أخنوخ</w:t>
      </w:r>
      <w:r>
        <w:rPr>
          <w:rtl/>
          <w:cs/>
          <w:lang w:val="ar_AE" w:bidi="ar_AE"/>
        </w:rPr>
        <w:t xml:space="preserve"> 6–10; انظر أيضًا ملاحظات الدراسة على </w:t>
      </w:r>
      <w:r>
        <w:rPr>
          <w:rtl/>
          <w:cs/>
          <w:lang w:val="ar_AE" w:bidi="ar_AE"/>
        </w:rPr>
        <w:t>1 بطرس 3:19–20</w:t>
      </w:r>
      <w:r>
        <w:rPr>
          <w:rtl/>
          <w:cs/>
          <w:lang w:val="ar_AE" w:bidi="ar_AE"/>
        </w:rPr>
        <w:t xml:space="preserve">; </w:t>
      </w:r>
      <w:r>
        <w:rPr>
          <w:rtl/>
          <w:cs/>
          <w:lang w:val="ar_AE" w:bidi="ar_AE"/>
        </w:rPr>
        <w:t>2 بطرس 2:4</w:t>
      </w:r>
      <w:r>
        <w:rPr>
          <w:rtl/>
          <w:cs/>
          <w:lang w:val="ar_AE" w:bidi="ar_AE"/>
        </w:rPr>
        <w:t xml:space="preserve">). يقتبس يهوذا لاحقًا (في </w:t>
      </w:r>
      <w:r>
        <w:rPr>
          <w:rtl/>
          <w:cs/>
          <w:lang w:val="ar_AE" w:bidi="ar_AE"/>
        </w:rPr>
        <w:t>الآيات 14–15</w:t>
      </w:r>
      <w:r>
        <w:rPr>
          <w:rtl/>
          <w:cs/>
          <w:lang w:val="ar_AE" w:bidi="ar_AE"/>
        </w:rPr>
        <w:t xml:space="preserve">) مباشرة من </w:t>
      </w:r>
      <w:r>
        <w:rPr>
          <w:i/>
          <w:rtl/>
          <w:cs/>
          <w:lang w:val="ar_AE" w:bidi="ar_AE"/>
        </w:rPr>
        <w:t>1 أخنوخ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w:t>
      </w:r>
      <w:r>
        <w:rPr>
          <w:rtl/>
          <w:cs/>
          <w:lang w:val="ar_AE" w:bidi="ar_AE"/>
        </w:rPr>
      </w:r>
    </w:p>
    <w:p>
      <w:pPr>
        <w:pStyle w:val="ListBullet"/>
        <w:bidi/>
        <w:spacing w:line="240" w:lineRule="auto"/>
        <w:ind w:left="720"/>
      </w:pPr>
      <w:r>
        <w:rPr>
          <w:rtl/>
          <w:cs/>
          <w:lang w:val="ar_AE" w:bidi="ar_AE"/>
        </w:rPr>
      </w:r>
      <w:r>
        <w:rPr>
          <w:rtl/>
          <w:cs/>
          <w:lang w:val="ar_AE" w:bidi="ar_AE"/>
        </w:rPr>
        <w:t xml:space="preserve">أصبح حكم الله على سدوم وعمورة معروفًا (انظر </w:t>
      </w:r>
      <w:r>
        <w:rPr>
          <w:rtl/>
          <w:cs/>
          <w:lang w:val="ar_AE" w:bidi="ar_AE"/>
        </w:rPr>
        <w:t>تكوين 18:17–19:26</w:t>
      </w:r>
      <w:r>
        <w:rPr>
          <w:rtl/>
          <w:cs/>
          <w:lang w:val="ar_AE" w:bidi="ar_AE"/>
        </w:rPr>
        <w:t xml:space="preserve">؛ </w:t>
      </w:r>
      <w:r>
        <w:rPr>
          <w:rtl/>
          <w:cs/>
          <w:lang w:val="ar_AE" w:bidi="ar_AE"/>
        </w:rPr>
        <w:t>لوقا 17:26–29</w:t>
      </w:r>
      <w:r>
        <w:rPr>
          <w:rtl/>
          <w:cs/>
          <w:lang w:val="ar_AE" w:bidi="ar_AE"/>
        </w:rPr>
        <w:t>).</w:t>
      </w:r>
    </w:p>
    <w:p>
      <w:pPr>
        <w:pStyle w:val="ListBullet"/>
        <w:bidi/>
        <w:spacing w:line="240" w:lineRule="auto"/>
        <w:ind w:left="720"/>
      </w:pPr>
      <w:r>
        <w:rPr>
          <w:rtl/>
          <w:cs/>
          <w:lang w:val="ar_AE" w:bidi="ar_AE"/>
        </w:rPr>
      </w:r>
      <w:r>
        <w:rPr>
          <w:i/>
          <w:rtl/>
          <w:cs/>
          <w:lang w:val="ar_AE" w:bidi="ar_AE"/>
        </w:rPr>
        <w:t>وَالْمُدُنَ الَّتِي حَوْلَهُمَا</w:t>
      </w:r>
      <w:r>
        <w:rPr>
          <w:rtl/>
          <w:cs/>
          <w:lang w:val="ar_AE" w:bidi="ar_AE"/>
        </w:rPr>
        <w:t xml:space="preserve">: </w:t>
      </w:r>
      <w:r>
        <w:rPr>
          <w:rtl/>
          <w:cs/>
          <w:lang w:val="ar_AE" w:bidi="ar_AE"/>
        </w:rPr>
        <w:t>تثنية 29:23</w:t>
      </w:r>
      <w:r>
        <w:rPr>
          <w:rtl/>
          <w:cs/>
          <w:lang w:val="ar_AE" w:bidi="ar_AE"/>
        </w:rPr>
        <w:t xml:space="preserve"> يذكر أدمة وصبوييم.</w:t>
      </w:r>
    </w:p>
    <w:p>
      <w:pPr>
        <w:pStyle w:val="ListBullet"/>
        <w:bidi/>
        <w:spacing w:line="240" w:lineRule="auto"/>
        <w:ind w:left="720"/>
      </w:pPr>
      <w:r>
        <w:rPr>
          <w:rtl/>
          <w:cs/>
          <w:lang w:val="ar_AE" w:bidi="ar_AE"/>
        </w:rPr>
      </w:r>
      <w:r>
        <w:rPr>
          <w:i/>
          <w:rtl/>
          <w:cs/>
          <w:lang w:val="ar_AE" w:bidi="ar_AE"/>
        </w:rPr>
        <w:t>إِذْ زَنَتْ عَلَى طَرِيق مِثْلِهِمَا، وَمَضَتْ وَرَاءَ جَسَدٍ آخَرَ</w:t>
      </w:r>
      <w:r>
        <w:rPr>
          <w:rtl/>
          <w:cs/>
          <w:lang w:val="ar_AE" w:bidi="ar_AE"/>
        </w:rPr>
        <w:t>: قد يشير هذا إلى العلاقات الجنسية بين الأفراد من نفس الجنس (</w:t>
      </w:r>
      <w:r>
        <w:rPr>
          <w:rtl/>
          <w:cs/>
          <w:lang w:val="ar_AE" w:bidi="ar_AE"/>
        </w:rPr>
        <w:t>تكوين 19:5–10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8</w:t>
      </w:r>
      <w:r>
        <w:rPr>
          <w:rtl/>
          <w:cs/>
          <w:lang w:val="ar_AE" w:bidi="ar_AE"/>
        </w:rPr>
      </w:r>
    </w:p>
    <w:p>
      <w:pPr>
        <w:bidi/>
      </w:pPr>
      <w:r>
        <w:rPr>
          <w:rtl/>
          <w:cs/>
          <w:lang w:val="ar_AE" w:bidi="ar_AE"/>
        </w:rPr>
      </w:r>
      <w:r>
        <w:rPr>
          <w:i/>
          <w:rtl/>
          <w:cs/>
          <w:lang w:val="ar_AE" w:bidi="ar_AE"/>
        </w:rPr>
        <w:t xml:space="preserve"> وَيَفْتَرُونَ عَلَى ذَوِي الأَمْجَادِ</w:t>
      </w:r>
      <w:r>
        <w:rPr>
          <w:rtl/>
          <w:cs/>
          <w:lang w:val="ar_AE" w:bidi="ar_AE"/>
        </w:rPr>
        <w:t xml:space="preserve">: قد يشير هذا إلى الملائكة الشريرة. في العهد القديم واليهودية، أدّى الملائكة دورًا مهمًا في الدينونة. وربما كان المُعَلِّمون الكذبة يقللون من أهمية الدينونة الآتية (انظر </w:t>
      </w:r>
      <w:r>
        <w:rPr>
          <w:rtl/>
          <w:cs/>
          <w:lang w:val="ar_AE" w:bidi="ar_AE"/>
        </w:rPr>
        <w:t>1:18</w:t>
      </w:r>
      <w:r>
        <w:rPr>
          <w:rtl/>
          <w:cs/>
          <w:lang w:val="ar_AE" w:bidi="ar_AE"/>
        </w:rPr>
        <w:t xml:space="preserve">; </w:t>
      </w:r>
      <w:r>
        <w:rPr>
          <w:rtl/>
          <w:cs/>
          <w:lang w:val="ar_AE" w:bidi="ar_AE"/>
        </w:rPr>
        <w:t>2 بطرس 3:3–4</w:t>
      </w:r>
      <w:r>
        <w:rPr>
          <w:rtl/>
          <w:cs/>
          <w:lang w:val="ar_AE" w:bidi="ar_AE"/>
        </w:rPr>
        <w:t xml:space="preserve">) أو ينكرون الأصل المجيد لهؤلاء الملائكة الذين تمردوا ضد الله (قارن </w:t>
      </w:r>
      <w:r>
        <w:rPr>
          <w:rtl/>
          <w:cs/>
          <w:lang w:val="ar_AE" w:bidi="ar_AE"/>
        </w:rPr>
        <w:t>2 بطرس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9</w:t>
      </w:r>
      <w:r>
        <w:rPr>
          <w:rtl/>
          <w:cs/>
          <w:lang w:val="ar_AE" w:bidi="ar_AE"/>
        </w:rPr>
      </w:r>
    </w:p>
    <w:p>
      <w:pPr>
        <w:bidi/>
      </w:pPr>
      <w:r>
        <w:rPr>
          <w:rtl/>
          <w:cs/>
          <w:lang w:val="ar_AE" w:bidi="ar_AE"/>
        </w:rPr>
      </w:r>
      <w:r>
        <w:rPr>
          <w:rtl/>
          <w:cs/>
          <w:lang w:val="ar_AE" w:bidi="ar_AE"/>
        </w:rPr>
        <w:t xml:space="preserve">إن ميخائيل يُعدّ واحدًا من أقوى الملائكة. وفي التقليد اليهودي، يُعد "رئيس الملائكة" أعلى رتبة بين الملائكة (انظر أيضًا </w:t>
      </w:r>
      <w:r>
        <w:rPr>
          <w:rtl/>
          <w:cs/>
          <w:lang w:val="ar_AE" w:bidi="ar_AE"/>
        </w:rPr>
        <w:t>تسالونيكي الأولى 4:16</w:t>
      </w:r>
      <w:r>
        <w:rPr>
          <w:rtl/>
          <w:cs/>
          <w:lang w:val="ar_AE" w:bidi="ar_AE"/>
        </w:rPr>
        <w:t>). ويُذكر ميخائيل عدة مرات في الكتاب المُقَدَّس (</w:t>
      </w:r>
      <w:r>
        <w:rPr>
          <w:rtl/>
          <w:cs/>
          <w:lang w:val="ar_AE" w:bidi="ar_AE"/>
        </w:rPr>
        <w:t>دانيآل 10:13</w:t>
      </w:r>
      <w:r>
        <w:rPr>
          <w:rtl/>
          <w:cs/>
          <w:lang w:val="ar_AE" w:bidi="ar_AE"/>
        </w:rPr>
        <w:t xml:space="preserve">, </w:t>
      </w:r>
      <w:r>
        <w:rPr>
          <w:rtl/>
          <w:cs/>
          <w:lang w:val="ar_AE" w:bidi="ar_AE"/>
        </w:rPr>
        <w:t>21</w:t>
      </w:r>
      <w:r>
        <w:rPr>
          <w:rtl/>
          <w:cs/>
          <w:lang w:val="ar_AE" w:bidi="ar_AE"/>
        </w:rPr>
        <w:t xml:space="preserve">; </w:t>
      </w:r>
      <w:r>
        <w:rPr>
          <w:rtl/>
          <w:cs/>
          <w:lang w:val="ar_AE" w:bidi="ar_AE"/>
        </w:rPr>
        <w:t>12:1</w:t>
      </w:r>
      <w:r>
        <w:rPr>
          <w:rtl/>
          <w:cs/>
          <w:lang w:val="ar_AE" w:bidi="ar_AE"/>
        </w:rPr>
        <w:t xml:space="preserve">; </w:t>
      </w:r>
      <w:r>
        <w:rPr>
          <w:rtl/>
          <w:cs/>
          <w:lang w:val="ar_AE" w:bidi="ar_AE"/>
        </w:rPr>
        <w:t>رؤيا 12:7</w:t>
      </w:r>
      <w:r>
        <w:rPr>
          <w:rtl/>
          <w:cs/>
          <w:lang w:val="ar_AE" w:bidi="ar_AE"/>
        </w:rPr>
        <w:t xml:space="preserve">). أما قصة مخاصمته مع الشيطان حول جسد موسى فهي ليست موجودة في العهد القديم، لكنها تُذكر في التقليد اليهودي (انظر </w:t>
      </w:r>
      <w:r>
        <w:rPr>
          <w:i/>
          <w:rtl/>
          <w:cs/>
          <w:lang w:val="ar_AE" w:bidi="ar_AE"/>
        </w:rPr>
        <w:t>افتراض 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11</w:t>
      </w:r>
      <w:r>
        <w:rPr>
          <w:rtl/>
          <w:cs/>
          <w:lang w:val="ar_AE" w:bidi="ar_AE"/>
        </w:rPr>
      </w:r>
    </w:p>
    <w:p>
      <w:pPr>
        <w:pStyle w:val="ListBullet"/>
        <w:bidi/>
        <w:spacing w:line="240" w:lineRule="auto"/>
        <w:ind w:left="720"/>
      </w:pPr>
      <w:r>
        <w:rPr>
          <w:rtl/>
          <w:cs/>
          <w:lang w:val="ar_AE" w:bidi="ar_AE"/>
        </w:rPr>
      </w:r>
      <w:r>
        <w:rPr>
          <w:i/>
          <w:rtl/>
          <w:cs/>
          <w:lang w:val="ar_AE" w:bidi="ar_AE"/>
        </w:rPr>
        <w:t>قايين</w:t>
      </w:r>
      <w:r>
        <w:rPr>
          <w:rtl/>
          <w:cs/>
          <w:lang w:val="ar_AE" w:bidi="ar_AE"/>
        </w:rPr>
        <w:t xml:space="preserve">: انظر </w:t>
      </w:r>
      <w:r>
        <w:rPr>
          <w:rtl/>
          <w:cs/>
          <w:lang w:val="ar_AE" w:bidi="ar_AE"/>
        </w:rPr>
        <w:t>تكوين 4:1–16</w:t>
      </w:r>
      <w:r>
        <w:rPr>
          <w:rtl/>
          <w:cs/>
          <w:lang w:val="ar_AE" w:bidi="ar_AE"/>
        </w:rPr>
        <w:t>.</w:t>
      </w:r>
    </w:p>
    <w:p>
      <w:pPr>
        <w:pStyle w:val="ListBullet"/>
        <w:bidi/>
        <w:spacing w:line="240" w:lineRule="auto"/>
        <w:ind w:left="720"/>
      </w:pPr>
      <w:r>
        <w:rPr>
          <w:rtl/>
          <w:cs/>
          <w:lang w:val="ar_AE" w:bidi="ar_AE"/>
        </w:rPr>
      </w:r>
      <w:r>
        <w:rPr>
          <w:i/>
          <w:rtl/>
          <w:cs/>
          <w:lang w:val="ar_AE" w:bidi="ar_AE"/>
        </w:rPr>
        <w:t>بلعام</w:t>
      </w:r>
      <w:r>
        <w:rPr>
          <w:rtl/>
          <w:cs/>
          <w:lang w:val="ar_AE" w:bidi="ar_AE"/>
        </w:rPr>
        <w:t xml:space="preserve">: يُرجى الرجوع إلى </w:t>
      </w:r>
      <w:r>
        <w:rPr>
          <w:rtl/>
          <w:cs/>
          <w:lang w:val="ar_AE" w:bidi="ar_AE"/>
        </w:rPr>
        <w:t>ملاحظة الدراسة على 2 بطرس 2:15</w:t>
      </w:r>
      <w:r>
        <w:rPr>
          <w:rtl/>
          <w:cs/>
          <w:lang w:val="ar_AE" w:bidi="ar_AE"/>
        </w:rPr>
        <w:t>.</w:t>
      </w:r>
    </w:p>
    <w:p>
      <w:pPr>
        <w:pStyle w:val="ListBullet"/>
        <w:bidi/>
        <w:spacing w:line="240" w:lineRule="auto"/>
        <w:ind w:left="720"/>
      </w:pPr>
      <w:r>
        <w:rPr>
          <w:rtl/>
          <w:cs/>
          <w:lang w:val="ar_AE" w:bidi="ar_AE"/>
        </w:rPr>
      </w:r>
      <w:r>
        <w:rPr>
          <w:i/>
          <w:rtl/>
          <w:cs/>
          <w:lang w:val="ar_AE" w:bidi="ar_AE"/>
        </w:rPr>
        <w:t>قورح</w:t>
      </w:r>
      <w:r>
        <w:rPr>
          <w:rtl/>
          <w:cs/>
          <w:lang w:val="ar_AE" w:bidi="ar_AE"/>
        </w:rPr>
        <w:t xml:space="preserve">: ارجع إلى </w:t>
      </w:r>
      <w:r>
        <w:rPr>
          <w:rtl/>
          <w:cs/>
          <w:lang w:val="ar_AE" w:bidi="ar_AE"/>
        </w:rPr>
        <w:t>سفر العدد 16:1–35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w:t>
      </w:r>
      <w:r>
        <w:rPr>
          <w:rtl/>
          <w:cs/>
          <w:lang w:val="ar_AE" w:bidi="ar_AE"/>
        </w:rPr>
      </w:r>
    </w:p>
    <w:p>
      <w:pPr>
        <w:bidi/>
      </w:pPr>
      <w:r>
        <w:rPr>
          <w:rtl/>
          <w:cs/>
          <w:lang w:val="ar_AE" w:bidi="ar_AE"/>
        </w:rPr>
      </w:r>
      <w:r>
        <w:rPr>
          <w:rtl/>
          <w:cs/>
          <w:lang w:val="ar_AE" w:bidi="ar_AE"/>
        </w:rPr>
        <w:t>كان المسيحيون الأوائل يحتفلون بعشاء الرب كجزء من وجبات الشركة التي كانوا يتناولونها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w:t>
      </w:r>
      <w:r>
        <w:rPr>
          <w:rtl/>
          <w:cs/>
          <w:lang w:val="ar_AE" w:bidi="ar_AE"/>
        </w:rPr>
      </w:r>
    </w:p>
    <w:p>
      <w:pPr>
        <w:bidi/>
      </w:pPr>
      <w:r>
        <w:rPr>
          <w:rtl/>
          <w:cs/>
          <w:lang w:val="ar_AE" w:bidi="ar_AE"/>
        </w:rPr>
      </w:r>
      <w:r>
        <w:rPr>
          <w:rtl/>
          <w:cs/>
          <w:lang w:val="ar_AE" w:bidi="ar_AE"/>
        </w:rPr>
        <w:t>كان الناس في الماضي يعتقدون أن الكواكب هي نجوم متجولة بسبب حركتها في أنماط غير منتظمة عبر السماء. وبالمثل، كان المُعَلِّمون الكذبة يتجولون (بتعليم أشياء غير صحيحة)، وقد أدان الله أفعالهم.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14–15</w:t>
      </w:r>
      <w:r>
        <w:rPr>
          <w:rtl/>
          <w:cs/>
          <w:lang w:val="ar_AE" w:bidi="ar_AE"/>
        </w:rPr>
      </w:r>
    </w:p>
    <w:p>
      <w:pPr>
        <w:bidi/>
      </w:pPr>
      <w:r>
        <w:rPr>
          <w:rtl/>
          <w:cs/>
          <w:lang w:val="ar_AE" w:bidi="ar_AE"/>
        </w:rPr>
      </w:r>
      <w:r>
        <w:rPr>
          <w:rtl/>
          <w:cs/>
          <w:lang w:val="ar_AE" w:bidi="ar_AE"/>
        </w:rPr>
        <w:t xml:space="preserve">كان أخنوخ من أوائل نسل آدم (انظر </w:t>
      </w:r>
      <w:r>
        <w:rPr>
          <w:rtl/>
          <w:cs/>
          <w:lang w:val="ar_AE" w:bidi="ar_AE"/>
        </w:rPr>
        <w:t>تكوين 5:18–24</w:t>
      </w:r>
      <w:r>
        <w:rPr>
          <w:rtl/>
          <w:cs/>
          <w:lang w:val="ar_AE" w:bidi="ar_AE"/>
        </w:rPr>
        <w:t xml:space="preserve">؛ </w:t>
      </w:r>
      <w:r>
        <w:rPr>
          <w:rtl/>
          <w:cs/>
          <w:lang w:val="ar_AE" w:bidi="ar_AE"/>
        </w:rPr>
        <w:t>أخبار الأيام الأول 1:3</w:t>
      </w:r>
      <w:r>
        <w:rPr>
          <w:rtl/>
          <w:cs/>
          <w:lang w:val="ar_AE" w:bidi="ar_AE"/>
        </w:rPr>
        <w:t xml:space="preserve">). ويشير </w:t>
      </w:r>
      <w:r>
        <w:rPr>
          <w:rtl/>
          <w:cs/>
          <w:lang w:val="ar_AE" w:bidi="ar_AE"/>
        </w:rPr>
        <w:t>تكوين 5:24</w:t>
      </w:r>
      <w:r>
        <w:rPr>
          <w:rtl/>
          <w:cs/>
          <w:lang w:val="ar_AE" w:bidi="ar_AE"/>
        </w:rPr>
        <w:t xml:space="preserve"> إلى أن أخنوخ لم يمت بل أُخذ مباشرة إلى السماء (قارن </w:t>
      </w:r>
      <w:r>
        <w:rPr>
          <w:rtl/>
          <w:cs/>
          <w:lang w:val="ar_AE" w:bidi="ar_AE"/>
        </w:rPr>
        <w:t>الملوك الثاني 2:1–13</w:t>
      </w:r>
      <w:r>
        <w:rPr>
          <w:rtl/>
          <w:cs/>
          <w:lang w:val="ar_AE" w:bidi="ar_AE"/>
        </w:rPr>
        <w:t xml:space="preserve">؛ انظر </w:t>
      </w:r>
      <w:r>
        <w:rPr>
          <w:rtl/>
          <w:cs/>
          <w:lang w:val="ar_AE" w:bidi="ar_AE"/>
        </w:rPr>
        <w:t>عبرانيين 11:5</w:t>
      </w:r>
      <w:r>
        <w:rPr>
          <w:rtl/>
          <w:cs/>
          <w:lang w:val="ar_AE" w:bidi="ar_AE"/>
        </w:rPr>
        <w:t>). هذا الاعتراف الخاص من الله والذِكر المحدود له في الكتاب المُقَدَّس يجعل أخنوخ شخصية مثيرة للاهتمام. ويحتوي الأدب اليهودي على عدة أساطير عنه، ويُنسب إليه على الأقل كتابان من الرؤى الأخروية التي كتبت بين العهد القديم والجديد (</w:t>
      </w:r>
      <w:r>
        <w:rPr>
          <w:i/>
          <w:rtl/>
          <w:cs/>
          <w:lang w:val="ar_AE" w:bidi="ar_AE"/>
        </w:rPr>
        <w:t>1–2 أخنوخ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17</w:t>
      </w:r>
      <w:r>
        <w:rPr>
          <w:rtl/>
          <w:cs/>
          <w:lang w:val="ar_AE" w:bidi="ar_AE"/>
        </w:rPr>
      </w:r>
    </w:p>
    <w:p>
      <w:pPr>
        <w:bidi/>
      </w:pPr>
      <w:r>
        <w:rPr>
          <w:rtl/>
          <w:cs/>
          <w:lang w:val="ar_AE" w:bidi="ar_AE"/>
        </w:rPr>
      </w:r>
      <w:r>
        <w:rPr>
          <w:i/>
          <w:rtl/>
          <w:cs/>
          <w:lang w:val="ar_AE" w:bidi="ar_AE"/>
        </w:rPr>
        <w:t xml:space="preserve"> الأَقْوَالَ الَّتِي قَالَهَا سَابِقًا رُسُلُ رَبِّنَا يَسُوعَ الْمَسِيحِ</w:t>
      </w:r>
      <w:r>
        <w:rPr>
          <w:rtl/>
          <w:cs/>
          <w:lang w:val="ar_AE" w:bidi="ar_AE"/>
        </w:rPr>
        <w:t xml:space="preserve">: انظر </w:t>
      </w:r>
      <w:r>
        <w:rPr>
          <w:rtl/>
          <w:cs/>
          <w:lang w:val="ar_AE" w:bidi="ar_AE"/>
        </w:rPr>
        <w:t>أعمال الرسل 20:29–30</w:t>
      </w:r>
      <w:r>
        <w:rPr>
          <w:rtl/>
          <w:cs/>
          <w:lang w:val="ar_AE" w:bidi="ar_AE"/>
        </w:rPr>
        <w:t xml:space="preserve">، </w:t>
      </w:r>
      <w:r>
        <w:rPr>
          <w:rtl/>
          <w:cs/>
          <w:lang w:val="ar_AE" w:bidi="ar_AE"/>
        </w:rPr>
        <w:t>1 تيموثاوس 4:1–3</w:t>
      </w:r>
      <w:r>
        <w:rPr>
          <w:rtl/>
          <w:cs/>
          <w:lang w:val="ar_AE" w:bidi="ar_AE"/>
        </w:rPr>
        <w:t>، و</w:t>
      </w:r>
      <w:r>
        <w:rPr>
          <w:rtl/>
          <w:cs/>
          <w:lang w:val="ar_AE" w:bidi="ar_AE"/>
        </w:rPr>
        <w:t>2 تيموثاوس 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17–23</w:t>
      </w:r>
      <w:r>
        <w:rPr>
          <w:rtl/>
          <w:cs/>
          <w:lang w:val="ar_AE" w:bidi="ar_AE"/>
        </w:rPr>
      </w:r>
    </w:p>
    <w:p>
      <w:pPr>
        <w:bidi/>
      </w:pPr>
      <w:r>
        <w:rPr>
          <w:rtl/>
          <w:cs/>
          <w:lang w:val="ar_AE" w:bidi="ar_AE"/>
        </w:rPr>
      </w:r>
      <w:r>
        <w:rPr>
          <w:rtl/>
          <w:cs/>
          <w:lang w:val="ar_AE" w:bidi="ar_AE"/>
        </w:rPr>
        <w:t xml:space="preserve">بعد إدانة المُعَلِّمين الكذبة، يشجع يهوذا قراءه مرة أخرى بشكل مباشر (انظر </w:t>
      </w:r>
      <w:r>
        <w:rPr>
          <w:rtl/>
          <w:cs/>
          <w:lang w:val="ar_AE" w:bidi="ar_AE"/>
        </w:rPr>
        <w:t>1:3–4</w:t>
      </w:r>
      <w:r>
        <w:rPr>
          <w:rtl/>
          <w:cs/>
          <w:lang w:val="ar_AE" w:bidi="ar_AE"/>
        </w:rPr>
        <w:t>). كان الرسل قد حذروهم من التعاليم الكاذبة (</w:t>
      </w:r>
      <w:r>
        <w:rPr>
          <w:rtl/>
          <w:cs/>
          <w:lang w:val="ar_AE" w:bidi="ar_AE"/>
        </w:rPr>
        <w:t>1:17–19</w:t>
      </w:r>
      <w:r>
        <w:rPr>
          <w:rtl/>
          <w:cs/>
          <w:lang w:val="ar_AE" w:bidi="ar_AE"/>
        </w:rPr>
        <w:t>). وكان ينبغي لهم دعم بعضهم البعض في إيمانهم (</w:t>
      </w:r>
      <w:r>
        <w:rPr>
          <w:rtl/>
          <w:cs/>
          <w:lang w:val="ar_AE" w:bidi="ar_AE"/>
        </w:rPr>
        <w:t>1:20–21</w:t>
      </w:r>
      <w:r>
        <w:rPr>
          <w:rtl/>
          <w:cs/>
          <w:lang w:val="ar_AE" w:bidi="ar_AE"/>
        </w:rPr>
        <w:t>). كما كان يجب عليهم مساعدة أولئك الذين قد يضللهم المُعَلِّمون الكذبة (</w:t>
      </w:r>
      <w:r>
        <w:rPr>
          <w:rtl/>
          <w:cs/>
          <w:lang w:val="ar_AE" w:bidi="ar_AE"/>
        </w:rPr>
        <w:t>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18</w:t>
      </w:r>
      <w:r>
        <w:rPr>
          <w:rtl/>
          <w:cs/>
          <w:lang w:val="ar_AE" w:bidi="ar_AE"/>
        </w:rPr>
      </w:r>
    </w:p>
    <w:p>
      <w:pPr>
        <w:bidi/>
      </w:pPr>
      <w:r>
        <w:rPr>
          <w:rtl/>
          <w:cs/>
          <w:lang w:val="ar_AE" w:bidi="ar_AE"/>
        </w:rPr>
      </w:r>
      <w:r>
        <w:rPr>
          <w:i/>
          <w:rtl/>
          <w:cs/>
          <w:lang w:val="ar_AE" w:bidi="ar_AE"/>
        </w:rPr>
        <w:t>إِنَّهُ فِي الزَّمَانِ الأَخِيرِ</w:t>
      </w:r>
      <w:r>
        <w:rPr>
          <w:rtl/>
          <w:cs/>
          <w:lang w:val="ar_AE" w:bidi="ar_AE"/>
        </w:rPr>
        <w:t>: مجيء يسوع بصفته المسيا (المختار من الله) يمثل الجزء النهائي من خطة الله. وقد بدأت نبوات العهد القديم المتعلقة بالأيام الأخيرة تتحقق من ذلك الوقت. وبناءً على ذلك، يستند يهوذا إلى نبوة الرسل عن الأزمنة الأخيرة لمعالجة الأزمة الحالية التي تسبب بها المُعَلِّمون الكذبة (</w:t>
      </w:r>
      <w:r>
        <w:rPr>
          <w:rtl/>
          <w:cs/>
          <w:lang w:val="ar_AE" w:bidi="ar_AE"/>
        </w:rPr>
        <w:t>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20</w:t>
      </w:r>
      <w:r>
        <w:rPr>
          <w:rtl/>
          <w:cs/>
          <w:lang w:val="ar_AE" w:bidi="ar_AE"/>
        </w:rPr>
      </w:r>
    </w:p>
    <w:p>
      <w:pPr>
        <w:bidi/>
      </w:pPr>
      <w:r>
        <w:rPr>
          <w:rtl/>
          <w:cs/>
          <w:lang w:val="ar_AE" w:bidi="ar_AE"/>
        </w:rPr>
      </w:r>
      <w:r>
        <w:rPr>
          <w:i/>
          <w:rtl/>
          <w:cs/>
          <w:lang w:val="ar_AE" w:bidi="ar_AE"/>
        </w:rPr>
        <w:t>إيمانكم الأقدس</w:t>
      </w:r>
      <w:r>
        <w:rPr>
          <w:rtl/>
          <w:cs/>
          <w:lang w:val="ar_AE" w:bidi="ar_AE"/>
        </w:rPr>
        <w:t xml:space="preserve">: كما في </w:t>
      </w:r>
      <w:r>
        <w:rPr>
          <w:rtl/>
          <w:cs/>
          <w:lang w:val="ar_AE" w:bidi="ar_AE"/>
        </w:rPr>
        <w:t>1:3</w:t>
      </w:r>
      <w:r>
        <w:rPr>
          <w:rtl/>
          <w:cs/>
          <w:lang w:val="ar_AE" w:bidi="ar_AE"/>
        </w:rPr>
        <w:t xml:space="preserve">، يشير </w:t>
      </w:r>
      <w:r>
        <w:rPr>
          <w:i/>
          <w:rtl/>
          <w:cs/>
          <w:lang w:val="ar_AE" w:bidi="ar_AE"/>
        </w:rPr>
        <w:t>الإيمان</w:t>
      </w:r>
      <w:r>
        <w:rPr>
          <w:rtl/>
          <w:cs/>
          <w:lang w:val="ar_AE" w:bidi="ar_AE"/>
        </w:rPr>
        <w:t xml:space="preserve"> إلى التعاليم الأساسية التي يعتنقها المسيحيون (المؤمنون). وتشمل هذه التعاليم ما ينبغي أن يؤمن به المسيحيون بشأن الله وكيف يجب أن يعيشوا. ولكن المُعَلِّمون الكذبة يهددون ويقاومون هذه المعتقدات، لذا يجب على المؤمنين التمسك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22</w:t>
      </w:r>
      <w:r>
        <w:rPr>
          <w:rtl/>
          <w:cs/>
          <w:lang w:val="ar_AE" w:bidi="ar_AE"/>
        </w:rPr>
      </w:r>
    </w:p>
    <w:p>
      <w:pPr>
        <w:bidi/>
      </w:pPr>
      <w:r>
        <w:rPr>
          <w:rtl/>
          <w:cs/>
          <w:lang w:val="ar_AE" w:bidi="ar_AE"/>
        </w:rPr>
      </w:r>
      <w:r>
        <w:rPr>
          <w:i/>
          <w:rtl/>
          <w:cs/>
          <w:lang w:val="ar_AE" w:bidi="ar_AE"/>
        </w:rPr>
        <w:t>أولئك الذين يشكون</w:t>
      </w:r>
      <w:r>
        <w:rPr>
          <w:rtl/>
          <w:cs/>
          <w:lang w:val="ar_AE" w:bidi="ar_AE"/>
        </w:rPr>
        <w:t>: بدأ بعض المؤمنين في التشكك في إيمانهم بسبب ما كان يقوله المُعَلِّمون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22–23</w:t>
      </w:r>
      <w:r>
        <w:rPr>
          <w:rtl/>
          <w:cs/>
          <w:lang w:val="ar_AE" w:bidi="ar_AE"/>
        </w:rPr>
      </w:r>
    </w:p>
    <w:p>
      <w:pPr>
        <w:bidi/>
      </w:pPr>
      <w:r>
        <w:rPr>
          <w:rtl/>
          <w:cs/>
          <w:lang w:val="ar_AE" w:bidi="ar_AE"/>
        </w:rPr>
      </w:r>
      <w:r>
        <w:rPr>
          <w:rtl/>
          <w:cs/>
          <w:lang w:val="ar_AE" w:bidi="ar_AE"/>
        </w:rPr>
        <w:t>تتبع ترجمة الكتاب المُقَدَّس القياسي البيرياني تقليد بعض المخطوطات والتي تحتوي على ثلاثة وصايا لمجموعات مختلفة:</w:t>
      </w:r>
    </w:p>
    <w:p>
      <w:pPr>
        <w:pStyle w:val="ListNumber"/>
        <w:numPr>
          <w:ilvl w:val="0"/>
          <w:numId w:val="14"/>
        </w:numPr>
        <w:bidi/>
        <w:spacing w:line="240" w:lineRule="auto"/>
        <w:ind w:left="720"/>
      </w:pPr>
      <w:r>
        <w:rPr>
          <w:rtl/>
          <w:cs/>
          <w:lang w:val="ar_AE" w:bidi="ar_AE"/>
        </w:rPr>
      </w:r>
      <w:r>
        <w:rPr>
          <w:rtl/>
          <w:cs/>
          <w:lang w:val="ar_AE" w:bidi="ar_AE"/>
        </w:rPr>
        <w:t>أولئك الذين يشكُّون،</w:t>
      </w:r>
    </w:p>
    <w:p>
      <w:pPr>
        <w:pStyle w:val="ListNumber"/>
        <w:bidi/>
        <w:spacing w:line="240" w:lineRule="auto"/>
        <w:ind w:left="720"/>
      </w:pPr>
      <w:r>
        <w:rPr>
          <w:rtl/>
          <w:cs/>
          <w:lang w:val="ar_AE" w:bidi="ar_AE"/>
        </w:rPr>
      </w:r>
      <w:r>
        <w:rPr>
          <w:rtl/>
          <w:cs/>
          <w:lang w:val="ar_AE" w:bidi="ar_AE"/>
        </w:rPr>
        <w:t>أولئك الذين يحتاجون إلى النجاة من الدينونة ("عن طريق الإختطاف مِنَ النَّارِ")، و</w:t>
      </w:r>
    </w:p>
    <w:p>
      <w:pPr>
        <w:pStyle w:val="ListNumber"/>
        <w:bidi/>
        <w:spacing w:line="240" w:lineRule="auto"/>
        <w:ind w:left="720"/>
      </w:pPr>
      <w:r>
        <w:rPr>
          <w:rtl/>
          <w:cs/>
          <w:lang w:val="ar_AE" w:bidi="ar_AE"/>
        </w:rPr>
      </w:r>
      <w:r>
        <w:rPr>
          <w:rtl/>
          <w:cs/>
          <w:lang w:val="ar_AE" w:bidi="ar_AE"/>
        </w:rPr>
        <w:t>أولئك الذين يحتاجون إلى الرحمة.</w:t>
      </w:r>
    </w:p>
    <w:p>
      <w:pPr>
        <w:bidi/>
      </w:pPr>
      <w:r>
        <w:rPr>
          <w:rtl/>
          <w:cs/>
          <w:lang w:val="ar_AE" w:bidi="ar_AE"/>
        </w:rPr>
      </w:r>
      <w:r>
        <w:rPr>
          <w:rtl/>
          <w:cs/>
          <w:lang w:val="ar_AE" w:bidi="ar_AE"/>
        </w:rPr>
        <w:t>وتشير بعض المخطوطات الأخرى إلى مجموعتين فقط:</w:t>
      </w:r>
    </w:p>
    <w:p>
      <w:pPr>
        <w:pStyle w:val="ListNumber"/>
        <w:numPr>
          <w:ilvl w:val="0"/>
          <w:numId w:val="15"/>
        </w:numPr>
        <w:bidi/>
        <w:spacing w:line="240" w:lineRule="auto"/>
        <w:ind w:left="720"/>
      </w:pPr>
      <w:r>
        <w:rPr>
          <w:rtl/>
          <w:cs/>
          <w:lang w:val="ar_AE" w:bidi="ar_AE"/>
        </w:rPr>
      </w:r>
      <w:r>
        <w:rPr>
          <w:rtl/>
          <w:cs/>
          <w:lang w:val="ar_AE" w:bidi="ar_AE"/>
        </w:rPr>
        <w:t>أولئك الذين لديهم إيمان متردد ويحتاجون إلى الخلاص من الدينونة، و</w:t>
      </w:r>
    </w:p>
    <w:p>
      <w:pPr>
        <w:pStyle w:val="ListNumber"/>
        <w:bidi/>
        <w:spacing w:line="240" w:lineRule="auto"/>
        <w:ind w:left="720"/>
      </w:pPr>
      <w:r>
        <w:rPr>
          <w:rtl/>
          <w:cs/>
          <w:lang w:val="ar_AE" w:bidi="ar_AE"/>
        </w:rPr>
      </w:r>
      <w:r>
        <w:rPr>
          <w:rtl/>
          <w:cs/>
          <w:lang w:val="ar_AE" w:bidi="ar_AE"/>
        </w:rPr>
        <w:t>أولئك الذين يحتاجون إلى الرحمة.</w:t>
      </w:r>
    </w:p>
    <w:p>
      <w:pPr>
        <w:bidi/>
      </w:pPr>
      <w:r>
        <w:rPr>
          <w:rtl/>
          <w:cs/>
          <w:lang w:val="ar_AE" w:bidi="ar_AE"/>
        </w:rPr>
      </w:r>
      <w:r>
        <w:rPr>
          <w:rtl/>
          <w:cs/>
          <w:lang w:val="ar_AE" w:bidi="ar_AE"/>
        </w:rPr>
        <w:t>ويستخدم الكتاب المُقَدَّس القياسي البيرياني النمط الثلاثي الموجود في أجزاء أخرى من رسالة يهوذا (</w:t>
      </w:r>
      <w:r>
        <w:rPr>
          <w:rtl/>
          <w:cs/>
          <w:lang w:val="ar_AE" w:bidi="ar_AE"/>
        </w:rPr>
        <w:t>1:5–7</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23</w:t>
      </w:r>
      <w:r>
        <w:rPr>
          <w:rtl/>
          <w:cs/>
          <w:lang w:val="ar_AE" w:bidi="ar_AE"/>
        </w:rPr>
      </w:r>
    </w:p>
    <w:p>
      <w:pPr>
        <w:pStyle w:val="ListBullet"/>
        <w:bidi/>
        <w:spacing w:line="240" w:lineRule="auto"/>
        <w:ind w:left="720"/>
      </w:pPr>
      <w:r>
        <w:rPr>
          <w:rtl/>
          <w:cs/>
          <w:lang w:val="ar_AE" w:bidi="ar_AE"/>
        </w:rPr>
      </w:r>
      <w:r>
        <w:rPr>
          <w:i/>
          <w:rtl/>
          <w:cs/>
          <w:lang w:val="ar_AE" w:bidi="ar_AE"/>
        </w:rPr>
        <w:t>وَخَلِّصُوا الْبَعْضَ</w:t>
      </w:r>
      <w:r>
        <w:rPr>
          <w:rtl/>
          <w:cs/>
          <w:lang w:val="ar_AE" w:bidi="ar_AE"/>
        </w:rPr>
        <w:t>: كان بعض المؤمنين متأثرين بشدة بالمُعَلِّمين الكذبة لدرجة أنهم كانوا في خطر وشيك أن يدانوا.</w:t>
      </w:r>
    </w:p>
    <w:p>
      <w:pPr>
        <w:pStyle w:val="ListBullet"/>
        <w:bidi/>
        <w:spacing w:line="240" w:lineRule="auto"/>
        <w:ind w:left="720"/>
      </w:pPr>
      <w:r>
        <w:rPr>
          <w:rtl/>
          <w:cs/>
          <w:lang w:val="ar_AE" w:bidi="ar_AE"/>
        </w:rPr>
      </w:r>
      <w:r>
        <w:rPr>
          <w:i/>
          <w:rtl/>
          <w:cs/>
          <w:lang w:val="ar_AE" w:bidi="ar_AE"/>
        </w:rPr>
        <w:t>وَارْحَمُوا الْبَعْضَ مُمَيِّزِينَ</w:t>
      </w:r>
      <w:r>
        <w:rPr>
          <w:rtl/>
          <w:cs/>
          <w:lang w:val="ar_AE" w:bidi="ar_AE"/>
        </w:rPr>
        <w:t xml:space="preserve">: من المحتمل أن تشمل هذه المجموعة المُعَلِّمين الكذبة أنفسهم أو أولئك الذين اتَّبعوا تعاليمهم. وقد يتضمن إظهار الرحمة الصلاة من أجلهم (انظر </w:t>
      </w:r>
      <w:r>
        <w:rPr>
          <w:rtl/>
          <w:cs/>
          <w:lang w:val="ar_AE" w:bidi="ar_AE"/>
        </w:rPr>
        <w:t>متى 5:44</w:t>
      </w:r>
      <w:r>
        <w:rPr>
          <w:rtl/>
          <w:cs/>
          <w:lang w:val="ar_AE" w:bidi="ar_AE"/>
        </w:rPr>
        <w:t>).</w:t>
      </w:r>
    </w:p>
    <w:p>
      <w:pPr>
        <w:pStyle w:val="ListBullet"/>
        <w:bidi/>
        <w:spacing w:line="240" w:lineRule="auto"/>
        <w:ind w:left="720"/>
      </w:pPr>
      <w:r>
        <w:rPr>
          <w:rtl/>
          <w:cs/>
          <w:lang w:val="ar_AE" w:bidi="ar_AE"/>
        </w:rPr>
      </w:r>
      <w:r>
        <w:rPr>
          <w:rtl/>
          <w:cs/>
          <w:lang w:val="ar_AE" w:bidi="ar_AE"/>
        </w:rPr>
        <w:t xml:space="preserve">يجب على المؤمنين أن يكونوا حذرين للغاية عند إظهار الرحمة للمُعَلِّمين الكذبة وأولئك الذين تبنوا طرقهم الخاطئة، حيث يمكن أن تكون خطاياهم مغرية. انظر </w:t>
      </w:r>
      <w:r>
        <w:rPr>
          <w:rtl/>
          <w:cs/>
          <w:lang w:val="ar_AE" w:bidi="ar_AE"/>
        </w:rPr>
        <w:t>زكريّا 3:1–4</w:t>
      </w:r>
      <w:r>
        <w:rPr>
          <w:rtl/>
          <w:cs/>
          <w:lang w:val="ar_AE" w:bidi="ar_AE"/>
        </w:rPr>
        <w:t xml:space="preserve">; </w:t>
      </w:r>
      <w:r>
        <w:rPr>
          <w:rtl/>
          <w:cs/>
          <w:lang w:val="ar_AE" w:bidi="ar_AE"/>
        </w:rPr>
        <w:t>رؤيا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24–25</w:t>
      </w:r>
      <w:r>
        <w:rPr>
          <w:rtl/>
          <w:cs/>
          <w:lang w:val="ar_AE" w:bidi="ar_AE"/>
        </w:rPr>
      </w:r>
    </w:p>
    <w:p>
      <w:pPr>
        <w:bidi/>
      </w:pPr>
      <w:r>
        <w:rPr>
          <w:rtl/>
          <w:cs/>
          <w:lang w:val="ar_AE" w:bidi="ar_AE"/>
        </w:rPr>
      </w:r>
      <w:r>
        <w:rPr>
          <w:rtl/>
          <w:cs/>
          <w:lang w:val="ar_AE" w:bidi="ar_AE"/>
        </w:rPr>
        <w:t>يختتم يهوذا رسالته بتسبيح قوي لله، وغالبًا ما يُقتبس خلال أوقات العبادة. وكلماته مثالية لأولئك الذين تلقوا رسالته، حيث كانوا بحاجة إلى فهم متجدد لله. وكان المؤمنون بحاجة إلى تذكر أن الله قدير بما يكفي لمساعدتهم على البقاء مُخْلِصين له. كما كانوا بحاجة إلى الثقة بأن الله قادر على حمايتهم من التأثر بهذه التعاليم الزائفة. لله الْمَجْدُ وَالْعَظَمَةُ وَالْقُدْرَةُ وَالسُّلْطَانُ ليجلبهم بأمان إلى محضره المجيد إلى الأبد.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