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 6:1–21</w:t>
      </w:r>
      <w:r>
        <w:rPr>
          <w:lang w:val="hi_IN" w:bidi="hi_IN"/>
        </w:rPr>
      </w:r>
    </w:p>
    <w:p>
      <w:pPr/>
      <w:r>
        <w:rPr>
          <w:lang w:val="hi_IN" w:bidi="hi_IN"/>
        </w:rPr>
      </w:r>
      <w:r>
        <w:rPr>
          <w:lang w:val="hi_IN" w:bidi="hi_IN"/>
        </w:rPr>
        <w:t xml:space="preserve">स्वैच्छिक </w:t>
      </w:r>
      <w:r>
        <w:rPr>
          <w:lang w:val="hi_IN" w:bidi="hi_IN"/>
        </w:rPr>
        <w:t>नाज़ीर</w:t>
      </w:r>
      <w:r>
        <w:rPr>
          <w:lang w:val="hi_IN" w:bidi="hi_IN"/>
        </w:rPr>
        <w:t xml:space="preserve"> मन्नत ने पुरुषों और महिलाओं को प्रभु के लिए स्वयं को अलग करने की अनुमति दी। इब्री इतिहास के विभिन्न कालों में नाज़ीर जीवनशैली के अभ्यास में काफी भिन्नता थी। प्राचीन समय में मन्नत को परमेश्वर के प्रति भक्ति या आभार व्यक्त करने के एक स्थापित साधन के रूप में बहुत गंभीरता से लिया जाता था। यह मन्नत अस्थायी या स्थायी हो सकती थी; इसमें </w:t>
      </w:r>
      <w:r>
        <w:rPr>
          <w:lang w:val="hi_IN" w:bidi="hi_IN"/>
        </w:rPr>
        <w:t>दाखमधु</w:t>
      </w:r>
      <w:r>
        <w:rPr>
          <w:lang w:val="hi_IN" w:bidi="hi_IN"/>
        </w:rPr>
        <w:t xml:space="preserve">, बाल कटवाने, और शवों के संपर्क से बचना शामिल था। </w:t>
      </w:r>
      <w:r>
        <w:rPr>
          <w:lang w:val="hi_IN" w:bidi="hi_IN"/>
        </w:rPr>
        <w:t>नाज़ीर</w:t>
      </w:r>
      <w:r>
        <w:rPr>
          <w:lang w:val="hi_IN" w:bidi="hi_IN"/>
        </w:rPr>
        <w:t xml:space="preserve"> प्रतिबंधों ने गैर-लेवीय गोत्रों के सदस्यों को परमेश्वर के साथ एक अधिक मांगलिक और अत्यधिक सम्मानित संबंध में प्रवेश करने का एक तरीका दिया। </w:t>
      </w:r>
      <w:r>
        <w:rPr>
          <w:lang w:val="hi_IN" w:bidi="hi_IN"/>
        </w:rPr>
        <w:t>नाज़ीर</w:t>
      </w:r>
      <w:r>
        <w:rPr>
          <w:lang w:val="hi_IN" w:bidi="hi_IN"/>
        </w:rPr>
        <w:t xml:space="preserve"> मन्नत शायद शिमशोन (</w:t>
      </w:r>
      <w:r>
        <w:rPr>
          <w:lang w:val="hi_IN" w:bidi="hi_IN"/>
        </w:rPr>
        <w:t>न्या 13–16</w:t>
      </w:r>
      <w:r>
        <w:rPr>
          <w:lang w:val="hi_IN" w:bidi="hi_IN"/>
        </w:rPr>
        <w:t xml:space="preserve">) के कारण सबसे अच्छी तरह से जानी जाती है। देखें </w:t>
      </w:r>
      <w:r>
        <w:rPr>
          <w:lang w:val="hi_IN" w:bidi="hi_IN"/>
        </w:rPr>
        <w:t>1 शमू 1:11</w:t>
      </w:r>
      <w:r>
        <w:rPr>
          <w:lang w:val="hi_IN" w:bidi="hi_IN"/>
        </w:rPr>
        <w:t xml:space="preserve">; </w:t>
      </w:r>
      <w:r>
        <w:rPr>
          <w:lang w:val="hi_IN" w:bidi="hi_IN"/>
        </w:rPr>
        <w:t>यिर्म 35</w:t>
      </w:r>
      <w:r>
        <w:rPr>
          <w:lang w:val="hi_IN" w:bidi="hi_IN"/>
        </w:rPr>
        <w:t xml:space="preserve">; </w:t>
      </w:r>
      <w:r>
        <w:rPr>
          <w:lang w:val="hi_IN" w:bidi="hi_IN"/>
        </w:rPr>
        <w:t>प्रेरि 18:18</w:t>
      </w:r>
      <w:r>
        <w:rPr>
          <w:lang w:val="hi_IN" w:bidi="hi_IN"/>
        </w:rPr>
        <w:t xml:space="preserve">; </w:t>
      </w:r>
      <w:r>
        <w:rPr>
          <w:lang w:val="hi_IN" w:bidi="hi_IN"/>
        </w:rPr>
        <w:t>21:23–26</w:t>
      </w:r>
      <w:r>
        <w:rPr>
          <w:lang w:val="hi_IN" w:bidi="hi_IN"/>
        </w:rPr>
        <w:t xml:space="preserve">; पुष्टि करें </w:t>
      </w:r>
      <w:r>
        <w:rPr>
          <w:lang w:val="hi_IN" w:bidi="hi_IN"/>
        </w:rPr>
        <w:t>लूका 1:15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