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2JN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Yohanes 1:1</w:t>
      </w:r>
      <w:r>
        <w:rPr>
          <w:lang w:val="id_ID" w:bidi="id_ID"/>
        </w:rPr>
      </w:r>
    </w:p>
    <w:p>
      <w:pPr/>
      <w:r>
        <w:rPr>
          <w:lang w:val="id_ID" w:bidi="id_ID"/>
        </w:rPr>
      </w:r>
      <w:r>
        <w:rPr>
          <w:lang w:val="id_ID" w:bidi="id_ID"/>
        </w:rPr>
        <w:t xml:space="preserve">Dari penatua: Nama Yohanes ditambahkan oleh para penerjemah untuk memperjelas; Yohanes menyebut dirinya sebagai </w:t>
      </w:r>
      <w:r>
        <w:rPr>
          <w:i/>
          <w:lang w:val="id_ID" w:bidi="id_ID"/>
        </w:rPr>
        <w:t>sang penatua</w:t>
      </w:r>
      <w:r>
        <w:rPr>
          <w:lang w:val="id_ID" w:bidi="id_ID"/>
        </w:rPr>
        <w:t xml:space="preserve"> untuk menegaskan otoritasnya di gereja. • kepada Ibu yang terpilih (Yunani kuria) dan anak-anaknya: Kata Yunani kuria mungkin adalah nama individu tertentu; lebih mungkin, ini merujuk pada gereja lokal tertentu dan para jemaatnya (bdk. </w:t>
      </w:r>
      <w:r>
        <w:rPr>
          <w:lang w:val="id_ID" w:bidi="id_ID"/>
        </w:rPr>
        <w:t>2Yoh. 1:13</w:t>
      </w:r>
      <w:r>
        <w:rPr>
          <w:lang w:val="id_ID" w:bidi="id_ID"/>
        </w:rPr>
        <w:t xml:space="preserve">). • yang benar-benar aku kasihi: Ini bisa berarti “benar-benar mengasihi” (lihat </w:t>
      </w:r>
      <w:r>
        <w:rPr>
          <w:lang w:val="id_ID" w:bidi="id_ID"/>
        </w:rPr>
        <w:t>2Yoh. 1:5–6</w:t>
      </w:r>
      <w:r>
        <w:rPr>
          <w:lang w:val="id_ID" w:bidi="id_ID"/>
        </w:rPr>
        <w:t>) atau, lebih mungkin, ini merujuk pada kasih antara mereka yang mengakui kebenaran yang sama tentang Kristus sebagai kontras dengan kebohongan para pengajar palsu (</w:t>
      </w:r>
      <w:r>
        <w:rPr>
          <w:lang w:val="id_ID" w:bidi="id_ID"/>
        </w:rPr>
        <w:t>2Yoh. 1:7</w:t>
      </w:r>
      <w:r>
        <w:rPr>
          <w:lang w:val="id_ID" w:bidi="id_ID"/>
        </w:rPr>
        <w:t xml:space="preserve">; lihat </w:t>
      </w:r>
      <w:r>
        <w:rPr>
          <w:lang w:val="id_ID" w:bidi="id_ID"/>
        </w:rPr>
        <w:t>1Yoh. 2:21–23</w:t>
      </w:r>
      <w:r>
        <w:rPr>
          <w:lang w:val="id_ID" w:bidi="id_ID"/>
        </w:rPr>
        <w:t xml:space="preserve">). Yohanes menekankan kata ganti </w:t>
      </w:r>
      <w:r>
        <w:rPr>
          <w:i/>
          <w:lang w:val="id_ID" w:bidi="id_ID"/>
        </w:rPr>
        <w:t>aku</w:t>
      </w:r>
      <w:r>
        <w:rPr>
          <w:lang w:val="id_ID" w:bidi="id_ID"/>
        </w:rPr>
        <w:t xml:space="preserve"> untuk sangat membedakan dirinya dari para guru palsu yang tidak memiliki kasih dan menolak gereja sejati.</w:t>
      </w:r>
      <w:r>
        <w:rPr>
          <w:lang w:val="id_ID" w:bidi="id_ID"/>
        </w:rPr>
      </w:r>
      <w:r>
        <w:rPr>
          <w:lang w:val="id_ID" w:bidi="id_ID"/>
        </w:rPr>
      </w:r>
    </w:p>
    <w:p>
      <w:pPr/>
      <w:r>
        <w:rPr>
          <w:lang w:val="id_ID" w:bidi="id_ID"/>
        </w:rPr>
      </w:r>
    </w:p>
    <w:p>
      <w:pPr>
        <w:pStyle w:val="Heading2"/>
      </w:pPr>
      <w:r>
        <w:rPr>
          <w:lang w:val="id_ID" w:bidi="id_ID"/>
        </w:rPr>
        <w:t>2 Yohanes 1:1–3</w:t>
      </w:r>
      <w:r>
        <w:rPr>
          <w:lang w:val="id_ID" w:bidi="id_ID"/>
        </w:rPr>
      </w:r>
    </w:p>
    <w:p>
      <w:pPr/>
      <w:r>
        <w:rPr>
          <w:lang w:val="id_ID" w:bidi="id_ID"/>
        </w:rPr>
      </w:r>
      <w:r>
        <w:rPr>
          <w:lang w:val="id_ID" w:bidi="id_ID"/>
        </w:rPr>
        <w:t xml:space="preserve">Yohanes memulai dengan pengantar resmi untuk sebuah surat pribadi. • Yohanes menyebutkan kebenaran empat kali dalam pengantar singkat ini dan sekali dalam </w:t>
      </w:r>
      <w:r>
        <w:rPr>
          <w:lang w:val="id_ID" w:bidi="id_ID"/>
        </w:rPr>
        <w:t>2Yoh. 1:4</w:t>
      </w:r>
      <w:r>
        <w:rPr>
          <w:lang w:val="id_ID" w:bidi="id_ID"/>
        </w:rPr>
        <w:t>. Yohanes ingin para pembacanya memahami dan menjalani kebenaran tentang Yesus Kristus serta hubungan mereka dengan-Nya, agar tidak disesatkan oleh guru-guru palsu.</w:t>
      </w:r>
      <w:r>
        <w:rPr>
          <w:lang w:val="id_ID" w:bidi="id_ID"/>
        </w:rPr>
      </w:r>
      <w:r>
        <w:rPr>
          <w:lang w:val="id_ID" w:bidi="id_ID"/>
        </w:rPr>
      </w:r>
    </w:p>
    <w:p>
      <w:pPr/>
      <w:r>
        <w:rPr>
          <w:lang w:val="id_ID" w:bidi="id_ID"/>
        </w:rPr>
      </w:r>
    </w:p>
    <w:p>
      <w:pPr>
        <w:pStyle w:val="Heading2"/>
      </w:pPr>
      <w:r>
        <w:rPr>
          <w:lang w:val="id_ID" w:bidi="id_ID"/>
        </w:rPr>
        <w:t>2 Yohanes 1:2</w:t>
      </w:r>
      <w:r>
        <w:rPr>
          <w:lang w:val="id_ID" w:bidi="id_ID"/>
        </w:rPr>
      </w:r>
    </w:p>
    <w:p>
      <w:pPr/>
      <w:r>
        <w:rPr>
          <w:lang w:val="id_ID" w:bidi="id_ID"/>
        </w:rPr>
      </w:r>
      <w:r>
        <w:rPr>
          <w:lang w:val="id_ID" w:bidi="id_ID"/>
        </w:rPr>
        <w:t xml:space="preserve">Kasih orang Kristen berakar pada pemahaman akan kebenaran. Kebenaran yang hidup dalam diri kita lebih dari sekadar fakta atau doktrin; itu adalah kehadiran Allah (lihat </w:t>
      </w:r>
      <w:r>
        <w:rPr>
          <w:lang w:val="id_ID" w:bidi="id_ID"/>
        </w:rPr>
        <w:t>Yoh. 14:15–17</w:t>
      </w:r>
      <w:r>
        <w:rPr>
          <w:lang w:val="id_ID" w:bidi="id_ID"/>
        </w:rPr>
        <w:t>), yang akan bersama kita selamanya.</w:t>
      </w:r>
      <w:r>
        <w:rPr>
          <w:lang w:val="id_ID" w:bidi="id_ID"/>
        </w:rPr>
      </w:r>
      <w:r>
        <w:rPr>
          <w:lang w:val="id_ID" w:bidi="id_ID"/>
        </w:rPr>
      </w:r>
    </w:p>
    <w:p>
      <w:pPr/>
      <w:r>
        <w:rPr>
          <w:lang w:val="id_ID" w:bidi="id_ID"/>
        </w:rPr>
      </w:r>
    </w:p>
    <w:p>
      <w:pPr>
        <w:pStyle w:val="Heading2"/>
      </w:pPr>
      <w:r>
        <w:rPr>
          <w:lang w:val="id_ID" w:bidi="id_ID"/>
        </w:rPr>
        <w:t>2 Yohanes 1:3</w:t>
      </w:r>
      <w:r>
        <w:rPr>
          <w:lang w:val="id_ID" w:bidi="id_ID"/>
        </w:rPr>
      </w:r>
    </w:p>
    <w:p>
      <w:pPr/>
      <w:r>
        <w:rPr>
          <w:lang w:val="id_ID" w:bidi="id_ID"/>
        </w:rPr>
      </w:r>
      <w:r>
        <w:rPr>
          <w:lang w:val="id_ID" w:bidi="id_ID"/>
        </w:rPr>
        <w:t>Kasih karunia, rahmat, dan damai sejahtera adalah berkat yang diyakini Yohanes bagi mereka yang hidup dalam kebenaran dan kasih</w:t>
      </w:r>
      <w:r>
        <w:rPr>
          <w:i/>
          <w:lang w:val="id_ID" w:bidi="id_ID"/>
        </w:rPr>
        <w:t>,</w:t>
      </w:r>
      <w:r>
        <w:rPr>
          <w:lang w:val="id_ID" w:bidi="id_ID"/>
        </w:rPr>
        <w:t xml:space="preserve"> serta menunjukkan tindakan mereka bahwa mereka adalah anak-anak Allah.</w:t>
      </w:r>
      <w:r>
        <w:rPr>
          <w:lang w:val="id_ID" w:bidi="id_ID"/>
        </w:rPr>
      </w:r>
      <w:r>
        <w:rPr>
          <w:lang w:val="id_ID" w:bidi="id_ID"/>
        </w:rPr>
      </w:r>
    </w:p>
    <w:p>
      <w:pPr/>
      <w:r>
        <w:rPr>
          <w:lang w:val="id_ID" w:bidi="id_ID"/>
        </w:rPr>
      </w:r>
    </w:p>
    <w:p>
      <w:pPr>
        <w:pStyle w:val="Heading2"/>
      </w:pPr>
      <w:r>
        <w:rPr>
          <w:lang w:val="id_ID" w:bidi="id_ID"/>
        </w:rPr>
        <w:t>2 Yohanes 1:4–11</w:t>
      </w:r>
      <w:r>
        <w:rPr>
          <w:lang w:val="id_ID" w:bidi="id_ID"/>
        </w:rPr>
      </w:r>
    </w:p>
    <w:p>
      <w:pPr/>
      <w:r>
        <w:rPr>
          <w:lang w:val="id_ID" w:bidi="id_ID"/>
        </w:rPr>
      </w:r>
      <w:r>
        <w:rPr>
          <w:lang w:val="id_ID" w:bidi="id_ID"/>
        </w:rPr>
        <w:t>Yohanes kini menerapkan kebenaran dan kasih yang disebutkannya dalam pendahuluan (</w:t>
      </w:r>
      <w:r>
        <w:rPr>
          <w:lang w:val="id_ID" w:bidi="id_ID"/>
        </w:rPr>
        <w:t>2Yoh. 1:1–3</w:t>
      </w:r>
      <w:r>
        <w:rPr>
          <w:lang w:val="id_ID" w:bidi="id_ID"/>
        </w:rPr>
        <w:t>) pada situasi yang dihadapi para pembaca. Hidup dalam kebenaran dan kasih berarti menjaga persekutuan dengan orang Kristen sejati (</w:t>
      </w:r>
      <w:r>
        <w:rPr>
          <w:lang w:val="id_ID" w:bidi="id_ID"/>
        </w:rPr>
        <w:t>2Yoh. 1:4–6</w:t>
      </w:r>
      <w:r>
        <w:rPr>
          <w:lang w:val="id_ID" w:bidi="id_ID"/>
        </w:rPr>
        <w:t>), tetapi juga membedakan guru-guru palsu dan menolak untuk mendengarkan atau membantu mereka (</w:t>
      </w:r>
      <w:r>
        <w:rPr>
          <w:lang w:val="id_ID" w:bidi="id_ID"/>
        </w:rPr>
        <w:t>2Yoh. 1:7–11</w:t>
      </w:r>
      <w:r>
        <w:rPr>
          <w:lang w:val="id_ID" w:bidi="id_ID"/>
        </w:rPr>
        <w:t>).</w:t>
      </w:r>
      <w:r>
        <w:rPr>
          <w:lang w:val="id_ID" w:bidi="id_ID"/>
        </w:rPr>
      </w:r>
      <w:r>
        <w:rPr>
          <w:lang w:val="id_ID" w:bidi="id_ID"/>
        </w:rPr>
      </w:r>
    </w:p>
    <w:p>
      <w:pPr/>
      <w:r>
        <w:rPr>
          <w:lang w:val="id_ID" w:bidi="id_ID"/>
        </w:rPr>
      </w:r>
    </w:p>
    <w:p>
      <w:pPr>
        <w:pStyle w:val="Heading2"/>
      </w:pPr>
      <w:r>
        <w:rPr>
          <w:lang w:val="id_ID" w:bidi="id_ID"/>
        </w:rPr>
        <w:t>2 Yohanes 1:5</w:t>
      </w:r>
      <w:r>
        <w:rPr>
          <w:lang w:val="id_ID" w:bidi="id_ID"/>
        </w:rPr>
      </w:r>
    </w:p>
    <w:p>
      <w:pPr/>
      <w:r>
        <w:rPr>
          <w:lang w:val="id_ID" w:bidi="id_ID"/>
        </w:rPr>
      </w:r>
      <w:r>
        <w:rPr>
          <w:lang w:val="id_ID" w:bidi="id_ID"/>
        </w:rPr>
        <w:t xml:space="preserve">Aku menulis untuk mengingatkanmu, teman-teman terkasih: Secara harfiah </w:t>
      </w:r>
      <w:r>
        <w:rPr>
          <w:i/>
          <w:lang w:val="id_ID" w:bidi="id_ID"/>
        </w:rPr>
        <w:t>aku minta kepadamu, Ibu.</w:t>
      </w:r>
      <w:r>
        <w:rPr>
          <w:lang w:val="id_ID" w:bidi="id_ID"/>
        </w:rPr>
        <w:t xml:space="preserve"> Lihat </w:t>
      </w:r>
      <w:r>
        <w:rPr>
          <w:lang w:val="id_ID" w:bidi="id_ID"/>
        </w:rPr>
        <w:t>catatan studi pada 2Yoh. 1:1</w:t>
      </w:r>
      <w:r>
        <w:rPr>
          <w:lang w:val="id_ID" w:bidi="id_ID"/>
        </w:rPr>
        <w:t>.</w:t>
      </w:r>
      <w:r>
        <w:rPr>
          <w:lang w:val="id_ID" w:bidi="id_ID"/>
        </w:rPr>
      </w:r>
      <w:r>
        <w:rPr>
          <w:lang w:val="id_ID" w:bidi="id_ID"/>
        </w:rPr>
      </w:r>
    </w:p>
    <w:p>
      <w:pPr/>
      <w:r>
        <w:rPr>
          <w:lang w:val="id_ID" w:bidi="id_ID"/>
        </w:rPr>
      </w:r>
    </w:p>
    <w:p>
      <w:pPr>
        <w:pStyle w:val="Heading2"/>
      </w:pPr>
      <w:r>
        <w:rPr>
          <w:lang w:val="id_ID" w:bidi="id_ID"/>
        </w:rPr>
        <w:t>2 Yohanes 1:7</w:t>
      </w:r>
      <w:r>
        <w:rPr>
          <w:lang w:val="id_ID" w:bidi="id_ID"/>
        </w:rPr>
      </w:r>
    </w:p>
    <w:p>
      <w:pPr/>
      <w:r>
        <w:rPr>
          <w:lang w:val="id_ID" w:bidi="id_ID"/>
        </w:rPr>
      </w:r>
      <w:r>
        <w:rPr>
          <w:lang w:val="id_ID" w:bidi="id_ID"/>
        </w:rPr>
        <w:t xml:space="preserve">Banyak penyesat telah muncul dan pergi ke seluruh dunia: Para pengikut Doketisme menyangkali bahwa Yesus Kristus datang dalam tubuh nyata. Yohanes membantah ajaran sesat ini dalam surat pertamanya (lihat </w:t>
      </w:r>
      <w:r>
        <w:rPr>
          <w:lang w:val="id_ID" w:bidi="id_ID"/>
        </w:rPr>
        <w:t>1Yoh. 4:2–3</w:t>
      </w:r>
      <w:r>
        <w:rPr>
          <w:lang w:val="id_ID" w:bidi="id_ID"/>
        </w:rPr>
        <w:t>). • Seorang guru palsu adalah penipu</w:t>
      </w:r>
      <w:r>
        <w:rPr>
          <w:i/>
          <w:lang w:val="id_ID" w:bidi="id_ID"/>
        </w:rPr>
        <w:t>,</w:t>
      </w:r>
      <w:r>
        <w:rPr>
          <w:lang w:val="id_ID" w:bidi="id_ID"/>
        </w:rPr>
        <w:t xml:space="preserve"> karena mereka menyesatkan orang percaya yang tidak waspada, dan antikristus</w:t>
      </w:r>
      <w:r>
        <w:rPr>
          <w:i/>
          <w:lang w:val="id_ID" w:bidi="id_ID"/>
        </w:rPr>
        <w:t>,</w:t>
      </w:r>
      <w:r>
        <w:rPr>
          <w:lang w:val="id_ID" w:bidi="id_ID"/>
        </w:rPr>
        <w:t xml:space="preserve"> karena mereka mengalihkan dan memimpin orang-orang menjauh dari Kristus yang sejati. Dengan menggunakan simbol apokaliptik dari antikristus, Yohanes menandakan keseriusan ajaran sesat dan penghakiman akhir atas guru-guru palsu.</w:t>
      </w:r>
      <w:r>
        <w:rPr>
          <w:lang w:val="id_ID" w:bidi="id_ID"/>
        </w:rPr>
      </w:r>
      <w:r>
        <w:rPr>
          <w:lang w:val="id_ID" w:bidi="id_ID"/>
        </w:rPr>
      </w:r>
    </w:p>
    <w:p>
      <w:pPr/>
      <w:r>
        <w:rPr>
          <w:lang w:val="id_ID" w:bidi="id_ID"/>
        </w:rPr>
      </w:r>
    </w:p>
    <w:p>
      <w:pPr>
        <w:pStyle w:val="Heading2"/>
      </w:pPr>
      <w:r>
        <w:rPr>
          <w:lang w:val="id_ID" w:bidi="id_ID"/>
        </w:rPr>
        <w:t>2 Yohanes 1:8</w:t>
      </w:r>
      <w:r>
        <w:rPr>
          <w:lang w:val="id_ID" w:bidi="id_ID"/>
        </w:rPr>
      </w:r>
    </w:p>
    <w:p>
      <w:pPr/>
      <w:r>
        <w:rPr>
          <w:lang w:val="id_ID" w:bidi="id_ID"/>
        </w:rPr>
      </w:r>
      <w:r>
        <w:rPr>
          <w:lang w:val="id_ID" w:bidi="id_ID"/>
        </w:rPr>
        <w:t>Kami: Kata ini merujuk kepada para rasul dan rekan-rekan mereka. Para rasul mengajarkan kebenaran dan membelanya dari ajaran sesat, dan orang-orang percaya (disebut sebagai kamu) diingatkan untuk melindungi iman mereka dari ajaran yang dapat merusak mereka (</w:t>
      </w:r>
      <w:r>
        <w:rPr>
          <w:lang w:val="id_ID" w:bidi="id_ID"/>
        </w:rPr>
        <w:t>2Yoh. 1:9</w:t>
      </w:r>
      <w:r>
        <w:rPr>
          <w:lang w:val="id_ID" w:bidi="id_ID"/>
        </w:rPr>
        <w:t>).</w:t>
      </w:r>
      <w:r>
        <w:rPr>
          <w:lang w:val="id_ID" w:bidi="id_ID"/>
        </w:rPr>
      </w:r>
      <w:r>
        <w:rPr>
          <w:lang w:val="id_ID" w:bidi="id_ID"/>
        </w:rPr>
      </w:r>
    </w:p>
    <w:p>
      <w:pPr/>
      <w:r>
        <w:rPr>
          <w:lang w:val="id_ID" w:bidi="id_ID"/>
        </w:rPr>
      </w:r>
    </w:p>
    <w:p>
      <w:pPr>
        <w:pStyle w:val="Heading2"/>
      </w:pPr>
      <w:r>
        <w:rPr>
          <w:lang w:val="id_ID" w:bidi="id_ID"/>
        </w:rPr>
        <w:t>2 Yohanes 1:9</w:t>
      </w:r>
      <w:r>
        <w:rPr>
          <w:lang w:val="id_ID" w:bidi="id_ID"/>
        </w:rPr>
      </w:r>
    </w:p>
    <w:p>
      <w:pPr/>
      <w:r>
        <w:rPr>
          <w:lang w:val="id_ID" w:bidi="id_ID"/>
        </w:rPr>
      </w:r>
      <w:r>
        <w:rPr>
          <w:lang w:val="id_ID" w:bidi="id_ID"/>
        </w:rPr>
        <w:t xml:space="preserve">Siapa pun yang menyimpang dari ajaran ini (secara harfiah </w:t>
      </w:r>
      <w:r>
        <w:rPr>
          <w:i/>
          <w:lang w:val="id_ID" w:bidi="id_ID"/>
        </w:rPr>
        <w:t>setiap orang yang tidak tinggal di dalam ajaran Kristus, tetapi yang melangkah keluar dari situ</w:t>
      </w:r>
      <w:r>
        <w:rPr>
          <w:lang w:val="id_ID" w:bidi="id_ID"/>
        </w:rPr>
        <w:t xml:space="preserve">: </w:t>
      </w:r>
      <w:r>
        <w:rPr>
          <w:i/>
          <w:lang w:val="id_ID" w:bidi="id_ID"/>
        </w:rPr>
        <w:t>Melangkah keluar</w:t>
      </w:r>
      <w:r>
        <w:rPr>
          <w:lang w:val="id_ID" w:bidi="id_ID"/>
        </w:rPr>
        <w:t xml:space="preserve"> berarti bertentangan dengan ajaran apostolik tentang Yesus Kristus dan mempercayai hal-hal tentang Yesus yang tidak diajarkan oleh para rasul. Ini adalah peringatan kepada gereja agar tidak mendengarkan guru-guru palsu.</w:t>
      </w:r>
      <w:r>
        <w:rPr>
          <w:lang w:val="id_ID" w:bidi="id_ID"/>
        </w:rPr>
      </w:r>
      <w:r>
        <w:rPr>
          <w:lang w:val="id_ID" w:bidi="id_ID"/>
        </w:rPr>
      </w:r>
    </w:p>
    <w:p>
      <w:pPr/>
      <w:r>
        <w:rPr>
          <w:lang w:val="id_ID" w:bidi="id_ID"/>
        </w:rPr>
      </w:r>
    </w:p>
    <w:p>
      <w:pPr>
        <w:pStyle w:val="Heading2"/>
      </w:pPr>
      <w:r>
        <w:rPr>
          <w:lang w:val="id_ID" w:bidi="id_ID"/>
        </w:rPr>
        <w:t>2 Yohanes 1:10–11</w:t>
      </w:r>
      <w:r>
        <w:rPr>
          <w:lang w:val="id_ID" w:bidi="id_ID"/>
        </w:rPr>
      </w:r>
    </w:p>
    <w:p>
      <w:pPr/>
      <w:r>
        <w:rPr>
          <w:lang w:val="id_ID" w:bidi="id_ID"/>
        </w:rPr>
      </w:r>
      <w:r>
        <w:rPr>
          <w:lang w:val="id_ID" w:bidi="id_ID"/>
        </w:rPr>
        <w:t xml:space="preserve">Orang percaya tidak boleh mengundang seseorang yang tidak mengajarkan kebenaran tentang Kristus ke dalam rumah mereka. Gereja mula-mula berkumpul di rumah-rumah (lihat </w:t>
      </w:r>
      <w:r>
        <w:rPr>
          <w:lang w:val="id_ID" w:bidi="id_ID"/>
        </w:rPr>
        <w:t>Kisah 2:46</w:t>
      </w:r>
      <w:r>
        <w:rPr>
          <w:lang w:val="id_ID" w:bidi="id_ID"/>
        </w:rPr>
        <w:t xml:space="preserve">; </w:t>
      </w:r>
      <w:r>
        <w:rPr>
          <w:lang w:val="id_ID" w:bidi="id_ID"/>
        </w:rPr>
        <w:t>5:42</w:t>
      </w:r>
      <w:r>
        <w:rPr>
          <w:lang w:val="id_ID" w:bidi="id_ID"/>
        </w:rPr>
        <w:t xml:space="preserve">; </w:t>
      </w:r>
      <w:r>
        <w:rPr>
          <w:lang w:val="id_ID" w:bidi="id_ID"/>
        </w:rPr>
        <w:t>8:3</w:t>
      </w:r>
      <w:r>
        <w:rPr>
          <w:lang w:val="id_ID" w:bidi="id_ID"/>
        </w:rPr>
        <w:t xml:space="preserve">; </w:t>
      </w:r>
      <w:r>
        <w:rPr>
          <w:lang w:val="id_ID" w:bidi="id_ID"/>
        </w:rPr>
        <w:t>12:5</w:t>
      </w:r>
      <w:r>
        <w:rPr>
          <w:lang w:val="id_ID" w:bidi="id_ID"/>
        </w:rPr>
        <w:t xml:space="preserve">, </w:t>
      </w:r>
      <w:r>
        <w:rPr>
          <w:lang w:val="id_ID" w:bidi="id_ID"/>
        </w:rPr>
        <w:t>12</w:t>
      </w:r>
      <w:r>
        <w:rPr>
          <w:lang w:val="id_ID" w:bidi="id_ID"/>
        </w:rPr>
        <w:t xml:space="preserve">; </w:t>
      </w:r>
      <w:r>
        <w:rPr>
          <w:lang w:val="id_ID" w:bidi="id_ID"/>
        </w:rPr>
        <w:t>Kol. 4:15</w:t>
      </w:r>
      <w:r>
        <w:rPr>
          <w:lang w:val="id_ID" w:bidi="id_ID"/>
        </w:rPr>
        <w:t xml:space="preserve">; </w:t>
      </w:r>
      <w:r>
        <w:rPr>
          <w:lang w:val="id_ID" w:bidi="id_ID"/>
        </w:rPr>
        <w:t>Flm. 1:2</w:t>
      </w:r>
      <w:r>
        <w:rPr>
          <w:lang w:val="id_ID" w:bidi="id_ID"/>
        </w:rPr>
        <w:t>), jadi ini bisa merujuk pada mengundang pengajar palsu ke pertemuan gereja. Ini juga bisa merujuk pada memberikan bentuk keramahan apa pun kepada pengajar palsu, yang akan membantu misi mereka. Satu-satunya cara untuk menghadapi mereka adalah dengan tidak menerima mereka ke dalam persekutuan.</w:t>
      </w:r>
      <w:r>
        <w:rPr>
          <w:lang w:val="id_ID" w:bidi="id_ID"/>
        </w:rPr>
      </w:r>
      <w:r>
        <w:rPr>
          <w:lang w:val="id_ID" w:bidi="id_ID"/>
        </w:rPr>
      </w:r>
    </w:p>
    <w:p>
      <w:pPr/>
      <w:r>
        <w:rPr>
          <w:lang w:val="id_ID" w:bidi="id_ID"/>
        </w:rPr>
      </w:r>
    </w:p>
    <w:p>
      <w:pPr>
        <w:pStyle w:val="Heading2"/>
      </w:pPr>
      <w:r>
        <w:rPr>
          <w:lang w:val="id_ID" w:bidi="id_ID"/>
        </w:rPr>
        <w:t>2 Yohanes 1:12</w:t>
      </w:r>
      <w:r>
        <w:rPr>
          <w:lang w:val="id_ID" w:bidi="id_ID"/>
        </w:rPr>
      </w:r>
    </w:p>
    <w:p>
      <w:pPr/>
      <w:r>
        <w:rPr>
          <w:lang w:val="id_ID" w:bidi="id_ID"/>
        </w:rPr>
      </w:r>
      <w:r>
        <w:rPr>
          <w:lang w:val="id_ID" w:bidi="id_ID"/>
        </w:rPr>
        <w:t xml:space="preserve">Ungkapan bahasa Indonesia "berhadapan muka" memiliki arti yang sama dengan ungkapan Yunani yang digunakan di sini (secara harfiah </w:t>
      </w:r>
      <w:r>
        <w:rPr>
          <w:i/>
          <w:lang w:val="id_ID" w:bidi="id_ID"/>
        </w:rPr>
        <w:t>mulut ke mulut;</w:t>
      </w:r>
      <w:r>
        <w:rPr>
          <w:lang w:val="id_ID" w:bidi="id_ID"/>
        </w:rPr>
        <w:t xml:space="preserve"> lihat juga </w:t>
      </w:r>
      <w:r>
        <w:rPr>
          <w:lang w:val="id_ID" w:bidi="id_ID"/>
        </w:rPr>
        <w:t>3Yoh. 1:14</w:t>
      </w:r>
      <w:r>
        <w:rPr>
          <w:lang w:val="id_ID" w:bidi="id_ID"/>
        </w:rPr>
        <w:t>). • supaya sempurnalah sukacita kita: Hubungan kita dengan Kristus bukan hanya pengalaman pribadi; kita mengalami sukacita yang penuh dalam persekutuan harmonis dengan sesama orang percaya.</w:t>
      </w:r>
      <w:r>
        <w:rPr>
          <w:lang w:val="id_ID" w:bidi="id_ID"/>
        </w:rPr>
      </w:r>
      <w:r>
        <w:rPr>
          <w:lang w:val="id_ID" w:bidi="id_ID"/>
        </w:rPr>
      </w:r>
    </w:p>
    <w:p>
      <w:pPr/>
      <w:r>
        <w:rPr>
          <w:lang w:val="id_ID" w:bidi="id_ID"/>
        </w:rPr>
      </w:r>
    </w:p>
    <w:p>
      <w:pPr>
        <w:pStyle w:val="Heading2"/>
      </w:pPr>
      <w:r>
        <w:rPr>
          <w:lang w:val="id_ID" w:bidi="id_ID"/>
        </w:rPr>
        <w:t>2 Yohanes 1:13</w:t>
      </w:r>
      <w:r>
        <w:rPr>
          <w:lang w:val="id_ID" w:bidi="id_ID"/>
        </w:rPr>
      </w:r>
    </w:p>
    <w:p>
      <w:pPr/>
      <w:r>
        <w:rPr>
          <w:lang w:val="id_ID" w:bidi="id_ID"/>
        </w:rPr>
      </w:r>
      <w:r>
        <w:rPr>
          <w:lang w:val="id_ID" w:bidi="id_ID"/>
        </w:rPr>
        <w:t xml:space="preserve">dari anak-anak saudaramu yang terpilih: Ini mungkin merujuk pada gereja saudara di Efesus dan para anggotanya, tempat Yohanes tinggal (lihat </w:t>
      </w:r>
      <w:r>
        <w:rPr>
          <w:lang w:val="id_ID" w:bidi="id_ID"/>
        </w:rPr>
        <w:t>2Yoh. 1:1</w:t>
      </w:r>
      <w:r>
        <w:rPr>
          <w:lang w:val="id_ID" w:bidi="id_ID"/>
        </w:rPr>
        <w:t>). Yohanes tinggal di wilayah tersebut dan mengurus beberapa gereja.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