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JUD</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Yudas 1:1</w:t>
      </w:r>
      <w:r>
        <w:rPr>
          <w:lang w:val="id_ID" w:bidi="id_ID"/>
        </w:rPr>
      </w:r>
    </w:p>
    <w:p>
      <w:pPr>
        <w:pStyle w:val="ListBullet"/>
        <w:spacing w:line="240" w:lineRule="auto"/>
        <w:ind w:left="720"/>
      </w:pPr>
      <w:r>
        <w:rPr>
          <w:lang w:val="id_ID" w:bidi="id_ID"/>
        </w:rPr>
      </w:r>
      <w:r>
        <w:rPr>
          <w:lang w:val="id_ID" w:bidi="id_ID"/>
        </w:rPr>
        <w:t xml:space="preserve">Yudas (atau </w:t>
      </w:r>
      <w:r>
        <w:rPr>
          <w:i/>
          <w:lang w:val="id_ID" w:bidi="id_ID"/>
        </w:rPr>
        <w:t>Yudas</w:t>
      </w:r>
      <w:r>
        <w:rPr>
          <w:lang w:val="id_ID" w:bidi="id_ID"/>
        </w:rPr>
        <w:t>) adalah versi Yunani dari nama Ibrani "Yehuda." Nama ini cukup umum. Yudas ini adalah saudara Yakobus, yang juga merupakan saudara Yesus (lihat Pendahuluan Kitab Yudas, "Penulis").</w:t>
      </w:r>
    </w:p>
    <w:p>
      <w:pPr>
        <w:pStyle w:val="ListBullet"/>
        <w:spacing w:line="240" w:lineRule="auto"/>
        <w:ind w:left="720"/>
      </w:pPr>
      <w:r>
        <w:rPr>
          <w:lang w:val="id_ID" w:bidi="id_ID"/>
        </w:rPr>
      </w:r>
      <w:r>
        <w:rPr>
          <w:i/>
          <w:lang w:val="id_ID" w:bidi="id_ID"/>
        </w:rPr>
        <w:t>hamba Yesus Kristus</w:t>
      </w:r>
      <w:r>
        <w:rPr>
          <w:lang w:val="id_ID" w:bidi="id_ID"/>
        </w:rPr>
        <w:t xml:space="preserve">: Yudas menyatakan bahwa dia mengikuti Yesus dalam semua aspek kehidupan. Gelar ini juga menunjukkan kehormatan. Pemimpin penting dalam Perjanjian Lama disebut sebagai </w:t>
      </w:r>
      <w:r>
        <w:rPr>
          <w:i/>
          <w:lang w:val="id_ID" w:bidi="id_ID"/>
        </w:rPr>
        <w:t>budak</w:t>
      </w:r>
      <w:r>
        <w:rPr>
          <w:lang w:val="id_ID" w:bidi="id_ID"/>
        </w:rPr>
        <w:t xml:space="preserve"> atau </w:t>
      </w:r>
      <w:r>
        <w:rPr>
          <w:i/>
          <w:lang w:val="id_ID" w:bidi="id_ID"/>
        </w:rPr>
        <w:t>pelayan</w:t>
      </w:r>
      <w:r>
        <w:rPr>
          <w:lang w:val="id_ID" w:bidi="id_ID"/>
        </w:rPr>
        <w:t xml:space="preserve"> Allah (lihat </w:t>
      </w:r>
      <w:r>
        <w:rPr>
          <w:lang w:val="id_ID" w:bidi="id_ID"/>
        </w:rPr>
        <w:t>Yos. 14:7</w:t>
      </w:r>
      <w:r>
        <w:rPr>
          <w:lang w:val="id_ID" w:bidi="id_ID"/>
        </w:rPr>
        <w:t xml:space="preserve">; </w:t>
      </w:r>
      <w:r>
        <w:rPr>
          <w:lang w:val="id_ID" w:bidi="id_ID"/>
        </w:rPr>
        <w:t>2Raj. 18:12</w:t>
      </w:r>
      <w:r>
        <w:rPr>
          <w:lang w:val="id_ID" w:bidi="id_ID"/>
        </w:rPr>
        <w:t xml:space="preserve">; </w:t>
      </w:r>
      <w:r>
        <w:rPr>
          <w:lang w:val="id_ID" w:bidi="id_ID"/>
        </w:rPr>
        <w:t>Yeh. 34:23</w:t>
      </w:r>
      <w:r>
        <w:rPr>
          <w:lang w:val="id_ID" w:bidi="id_ID"/>
        </w:rPr>
        <w:t>).</w:t>
      </w:r>
    </w:p>
    <w:p>
      <w:pPr>
        <w:pStyle w:val="ListBullet"/>
        <w:spacing w:line="240" w:lineRule="auto"/>
        <w:ind w:left="720"/>
      </w:pPr>
      <w:r>
        <w:rPr>
          <w:lang w:val="id_ID" w:bidi="id_ID"/>
        </w:rPr>
      </w:r>
      <w:r>
        <w:rPr>
          <w:i/>
          <w:lang w:val="id_ID" w:bidi="id_ID"/>
        </w:rPr>
        <w:t>Kepada mereka yang terpanggil</w:t>
      </w:r>
      <w:r>
        <w:rPr>
          <w:lang w:val="id_ID" w:bidi="id_ID"/>
        </w:rPr>
        <w:t>: Kami tidak tahu dengan pasti kepada siapa Yudas menulis surat ini.</w:t>
      </w:r>
      <w:r>
        <w:rPr>
          <w:lang w:val="id_ID" w:bidi="id_ID"/>
        </w:rPr>
      </w:r>
      <w:r>
        <w:rPr>
          <w:lang w:val="id_ID" w:bidi="id_ID"/>
        </w:rPr>
      </w:r>
    </w:p>
    <w:p>
      <w:pPr/>
      <w:r>
        <w:rPr>
          <w:lang w:val="id_ID" w:bidi="id_ID"/>
        </w:rPr>
      </w:r>
    </w:p>
    <w:p>
      <w:pPr>
        <w:pStyle w:val="Heading2"/>
      </w:pPr>
      <w:r>
        <w:rPr>
          <w:lang w:val="id_ID" w:bidi="id_ID"/>
        </w:rPr>
        <w:t>Yudas 1:1–2</w:t>
      </w:r>
      <w:r>
        <w:rPr>
          <w:lang w:val="id_ID" w:bidi="id_ID"/>
        </w:rPr>
      </w:r>
    </w:p>
    <w:p>
      <w:pPr>
        <w:pStyle w:val="ListBullet"/>
        <w:spacing w:line="240" w:lineRule="auto"/>
        <w:ind w:left="720"/>
      </w:pPr>
      <w:r>
        <w:rPr>
          <w:lang w:val="id_ID" w:bidi="id_ID"/>
        </w:rPr>
      </w:r>
      <w:r>
        <w:rPr>
          <w:lang w:val="id_ID" w:bidi="id_ID"/>
        </w:rPr>
        <w:t>Mengikuti struktur khas awal sebuah surat, Yudas memperkenalkan dirinya, menyapa para pembacanya, dan mendoakan mereka.</w:t>
      </w:r>
    </w:p>
    <w:p>
      <w:pPr>
        <w:pStyle w:val="ListBullet"/>
        <w:spacing w:line="240" w:lineRule="auto"/>
        <w:ind w:left="720"/>
      </w:pPr>
      <w:r>
        <w:rPr>
          <w:lang w:val="id_ID" w:bidi="id_ID"/>
        </w:rPr>
      </w:r>
      <w:r>
        <w:rPr>
          <w:i/>
          <w:lang w:val="id_ID" w:bidi="id_ID"/>
        </w:rPr>
        <w:t>dipelihara untuk Yesus Kristus</w:t>
      </w:r>
      <w:r>
        <w:rPr>
          <w:lang w:val="id_ID" w:bidi="id_ID"/>
        </w:rPr>
        <w:t xml:space="preserve">: Frasa ini menekankan poin penting (lihat juga </w:t>
      </w:r>
      <w:r>
        <w:rPr>
          <w:lang w:val="id_ID" w:bidi="id_ID"/>
        </w:rPr>
        <w:t>Yud. 1:21</w:t>
      </w:r>
      <w:r>
        <w:rPr>
          <w:lang w:val="id_ID" w:bidi="id_ID"/>
        </w:rPr>
        <w:t xml:space="preserve">, </w:t>
      </w:r>
      <w:r>
        <w:rPr>
          <w:lang w:val="id_ID" w:bidi="id_ID"/>
        </w:rPr>
        <w:t>24</w:t>
      </w:r>
      <w:r>
        <w:rPr>
          <w:lang w:val="id_ID" w:bidi="id_ID"/>
        </w:rPr>
        <w:t>). Ini memberikan keyakinan kepada orang percaya ketika mereka menghadapi orang-orang yang mengajarkan hal-hal yang salah tentang Allah.</w:t>
      </w:r>
      <w:r>
        <w:rPr>
          <w:lang w:val="id_ID" w:bidi="id_ID"/>
        </w:rPr>
      </w:r>
      <w:r>
        <w:rPr>
          <w:lang w:val="id_ID" w:bidi="id_ID"/>
        </w:rPr>
      </w:r>
    </w:p>
    <w:p>
      <w:pPr/>
      <w:r>
        <w:rPr>
          <w:lang w:val="id_ID" w:bidi="id_ID"/>
        </w:rPr>
      </w:r>
    </w:p>
    <w:p>
      <w:pPr>
        <w:pStyle w:val="Heading2"/>
      </w:pPr>
      <w:r>
        <w:rPr>
          <w:lang w:val="id_ID" w:bidi="id_ID"/>
        </w:rPr>
        <w:t>Yudas 1:3</w:t>
      </w:r>
      <w:r>
        <w:rPr>
          <w:lang w:val="id_ID" w:bidi="id_ID"/>
        </w:rPr>
      </w:r>
    </w:p>
    <w:p>
      <w:pPr/>
      <w:r>
        <w:rPr>
          <w:lang w:val="id_ID" w:bidi="id_ID"/>
        </w:rPr>
      </w:r>
      <w:r>
        <w:rPr>
          <w:lang w:val="id_ID" w:bidi="id_ID"/>
        </w:rPr>
        <w:t>Dalam Perjanjian Baru, "iman" biasanya berarti tindakan untuk mempercayai, sedangkan "kepercayaan" mengacu pada keyakinan Kristen.</w:t>
      </w:r>
      <w:r>
        <w:rPr>
          <w:lang w:val="id_ID" w:bidi="id_ID"/>
        </w:rPr>
      </w:r>
      <w:r>
        <w:rPr>
          <w:lang w:val="id_ID" w:bidi="id_ID"/>
        </w:rPr>
      </w:r>
    </w:p>
    <w:p>
      <w:pPr/>
      <w:r>
        <w:rPr>
          <w:lang w:val="id_ID" w:bidi="id_ID"/>
        </w:rPr>
      </w:r>
    </w:p>
    <w:p>
      <w:pPr>
        <w:pStyle w:val="Heading2"/>
      </w:pPr>
      <w:r>
        <w:rPr>
          <w:lang w:val="id_ID" w:bidi="id_ID"/>
        </w:rPr>
        <w:t>Yudas 1:3–4</w:t>
      </w:r>
      <w:r>
        <w:rPr>
          <w:lang w:val="id_ID" w:bidi="id_ID"/>
        </w:rPr>
      </w:r>
    </w:p>
    <w:p>
      <w:pPr/>
      <w:r>
        <w:rPr>
          <w:lang w:val="id_ID" w:bidi="id_ID"/>
        </w:rPr>
      </w:r>
      <w:r>
        <w:rPr>
          <w:lang w:val="id_ID" w:bidi="id_ID"/>
        </w:rPr>
        <w:t xml:space="preserve">Alih-alih ucapan syukur yang biasanya muncul pada bagian ini dalam surat-surat Perjanjian Baru, Yudas menjelaskan tujuan utamanya (lihat </w:t>
      </w:r>
      <w:r>
        <w:rPr>
          <w:lang w:val="id_ID" w:bidi="id_ID"/>
        </w:rPr>
        <w:t>Rm 1:8–14</w:t>
      </w:r>
      <w:r>
        <w:rPr>
          <w:lang w:val="id_ID" w:bidi="id_ID"/>
        </w:rPr>
        <w:t xml:space="preserve">; </w:t>
      </w:r>
      <w:r>
        <w:rPr>
          <w:lang w:val="id_ID" w:bidi="id_ID"/>
        </w:rPr>
        <w:t>1Kor. 1:4–9</w:t>
      </w:r>
      <w:r>
        <w:rPr>
          <w:lang w:val="id_ID" w:bidi="id_ID"/>
        </w:rPr>
        <w:t xml:space="preserve">). Ajaran sesat merupakan ancaman serius bagi iman orang-orang yang ia tulis (lihat </w:t>
      </w:r>
      <w:r>
        <w:rPr>
          <w:lang w:val="id_ID" w:bidi="id_ID"/>
        </w:rPr>
        <w:t>Yud. 1:22–23</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1:4</w:t>
      </w:r>
      <w:r>
        <w:rPr>
          <w:lang w:val="id_ID" w:bidi="id_ID"/>
        </w:rPr>
      </w:r>
    </w:p>
    <w:p>
      <w:pPr/>
      <w:r>
        <w:rPr>
          <w:lang w:val="id_ID" w:bidi="id_ID"/>
        </w:rPr>
      </w:r>
      <w:r>
        <w:rPr>
          <w:lang w:val="id_ID" w:bidi="id_ID"/>
        </w:rPr>
        <w:t xml:space="preserve">Godaan untuk menyalahgunakan rahmat Allah yang luar biasa dengan beranggapan bahwa hal itu membolehkan kita melakukan perbuatan yang salah (lihat </w:t>
      </w:r>
      <w:r>
        <w:rPr>
          <w:lang w:val="id_ID" w:bidi="id_ID"/>
        </w:rPr>
        <w:t>Rm. 6</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1:5</w:t>
      </w:r>
      <w:r>
        <w:rPr>
          <w:lang w:val="id_ID" w:bidi="id_ID"/>
        </w:rPr>
      </w:r>
    </w:p>
    <w:p>
      <w:pPr>
        <w:pStyle w:val="ListBullet"/>
        <w:spacing w:line="240" w:lineRule="auto"/>
        <w:ind w:left="720"/>
      </w:pPr>
      <w:r>
        <w:rPr>
          <w:lang w:val="id_ID" w:bidi="id_ID"/>
        </w:rPr>
      </w:r>
      <w:r>
        <w:rPr>
          <w:lang w:val="id_ID" w:bidi="id_ID"/>
        </w:rPr>
        <w:t xml:space="preserve">Yesus sudah ada sebelum kelahirannya dan menyelamatkan orang-orang Israel dari Mesir. Kemudian, Dia menghukum mereka yang tidak setia (bandingkan </w:t>
      </w:r>
      <w:r>
        <w:rPr>
          <w:lang w:val="id_ID" w:bidi="id_ID"/>
        </w:rPr>
        <w:t>1Kor 10:4</w:t>
      </w:r>
      <w:r>
        <w:rPr>
          <w:lang w:val="id_ID" w:bidi="id_ID"/>
        </w:rPr>
        <w:t>).</w:t>
      </w:r>
    </w:p>
    <w:p>
      <w:pPr>
        <w:pStyle w:val="ListBullet"/>
        <w:spacing w:line="240" w:lineRule="auto"/>
        <w:ind w:left="720"/>
      </w:pPr>
      <w:r>
        <w:rPr>
          <w:lang w:val="id_ID" w:bidi="id_ID"/>
        </w:rPr>
      </w:r>
      <w:r>
        <w:rPr>
          <w:i/>
          <w:lang w:val="id_ID" w:bidi="id_ID"/>
        </w:rPr>
        <w:t>memang Tuhan menyelamatkan umat-Nya dari tanah Mesir, namun sekali lagi membinasakan mereka yang tidak percaya:</w:t>
      </w:r>
      <w:r>
        <w:rPr>
          <w:lang w:val="id_ID" w:bidi="id_ID"/>
        </w:rPr>
        <w:t xml:space="preserve"> Kebanyakan orang tidak mempercayai Allah untuk menjaga mereka tetap aman. Karena ketidakpercayaan mereka, Allah membuat generasi itu (kecuali Yosua dan Kaleb) mengembara di padang gurun sampai mereka mati (lihat </w:t>
      </w:r>
      <w:r>
        <w:rPr>
          <w:lang w:val="id_ID" w:bidi="id_ID"/>
        </w:rPr>
        <w:t>Bil. 14</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1:5–16</w:t>
      </w:r>
      <w:r>
        <w:rPr>
          <w:lang w:val="id_ID" w:bidi="id_ID"/>
        </w:rPr>
      </w:r>
    </w:p>
    <w:p>
      <w:pPr/>
      <w:r>
        <w:rPr>
          <w:lang w:val="id_ID" w:bidi="id_ID"/>
        </w:rPr>
      </w:r>
      <w:r>
        <w:rPr>
          <w:lang w:val="id_ID" w:bidi="id_ID"/>
        </w:rPr>
        <w:t xml:space="preserve">Bagian ini menjelaskan "yang telah lama </w:t>
      </w:r>
      <w:r>
        <w:rPr>
          <w:lang w:val="id_ID" w:bidi="id_ID"/>
        </w:rPr>
        <w:t>ditentukan</w:t>
      </w:r>
      <w:r>
        <w:rPr>
          <w:lang w:val="id_ID" w:bidi="id_ID"/>
        </w:rPr>
        <w:t xml:space="preserve"> untuk dihukum" dalam </w:t>
      </w:r>
      <w:r>
        <w:rPr>
          <w:lang w:val="id_ID" w:bidi="id_ID"/>
        </w:rPr>
        <w:t>Yud. 1:4</w:t>
      </w:r>
      <w:r>
        <w:rPr>
          <w:lang w:val="id_ID" w:bidi="id_ID"/>
        </w:rPr>
        <w:t xml:space="preserve"> dengan menggunakan contoh-contoh dari Perjanjian Lama mengenai penghakiman Allah terhadap guru-guru palsu.</w:t>
      </w:r>
      <w:r>
        <w:rPr>
          <w:lang w:val="id_ID" w:bidi="id_ID"/>
        </w:rPr>
      </w:r>
      <w:r>
        <w:rPr>
          <w:lang w:val="id_ID" w:bidi="id_ID"/>
        </w:rPr>
      </w:r>
    </w:p>
    <w:p>
      <w:pPr/>
      <w:r>
        <w:rPr>
          <w:lang w:val="id_ID" w:bidi="id_ID"/>
        </w:rPr>
      </w:r>
    </w:p>
    <w:p>
      <w:pPr>
        <w:pStyle w:val="Heading2"/>
      </w:pPr>
      <w:r>
        <w:rPr>
          <w:lang w:val="id_ID" w:bidi="id_ID"/>
        </w:rPr>
        <w:t>Yudas 1:6</w:t>
      </w:r>
      <w:r>
        <w:rPr>
          <w:lang w:val="id_ID" w:bidi="id_ID"/>
        </w:rPr>
      </w:r>
    </w:p>
    <w:p>
      <w:pPr/>
      <w:r>
        <w:rPr>
          <w:lang w:val="id_ID" w:bidi="id_ID"/>
        </w:rPr>
      </w:r>
      <w:r>
        <w:rPr>
          <w:lang w:val="id_ID" w:bidi="id_ID"/>
        </w:rPr>
        <w:t xml:space="preserve">Malaikat mungkin merujuk pada kejatuhan Setan dan malaikat yang mengikutinya, tetapi tidak ada bagian dalam Perjanjian Lama yang secara jelas menggambarkan peristiwa ini (lihat catatan studi pada </w:t>
      </w:r>
      <w:r>
        <w:rPr>
          <w:lang w:val="id_ID" w:bidi="id_ID"/>
        </w:rPr>
        <w:t>Yes. 14:12–17</w:t>
      </w:r>
      <w:r>
        <w:rPr>
          <w:lang w:val="id_ID" w:bidi="id_ID"/>
        </w:rPr>
        <w:t xml:space="preserve">; </w:t>
      </w:r>
      <w:r>
        <w:rPr>
          <w:lang w:val="id_ID" w:bidi="id_ID"/>
        </w:rPr>
        <w:t>Yeh. 28:12–19</w:t>
      </w:r>
      <w:r>
        <w:rPr>
          <w:lang w:val="id_ID" w:bidi="id_ID"/>
        </w:rPr>
        <w:t xml:space="preserve">). Yudas mungkin merujuk pada </w:t>
      </w:r>
      <w:r>
        <w:rPr>
          <w:lang w:val="id_ID" w:bidi="id_ID"/>
        </w:rPr>
        <w:t>Kej. 6:1–4</w:t>
      </w:r>
      <w:r>
        <w:rPr>
          <w:lang w:val="id_ID" w:bidi="id_ID"/>
        </w:rPr>
        <w:t xml:space="preserve">. Tradisi Yahudi memahami "anak-anak Allah" dalam </w:t>
      </w:r>
      <w:r>
        <w:rPr>
          <w:lang w:val="id_ID" w:bidi="id_ID"/>
        </w:rPr>
        <w:t>Kej. 6</w:t>
      </w:r>
      <w:r>
        <w:rPr>
          <w:lang w:val="id_ID" w:bidi="id_ID"/>
        </w:rPr>
        <w:t xml:space="preserve"> sebagai malaikat jahat. Mereka percaya bahwa Allah menghukum malaikat-malaikat ini karena mereka memiliki hubungan seksual dengan wanita (lihat </w:t>
      </w:r>
      <w:r>
        <w:rPr>
          <w:i/>
          <w:lang w:val="id_ID" w:bidi="id_ID"/>
        </w:rPr>
        <w:t>1 Henokh</w:t>
      </w:r>
      <w:r>
        <w:rPr>
          <w:lang w:val="id_ID" w:bidi="id_ID"/>
        </w:rPr>
        <w:t xml:space="preserve"> 6–10; lihat juga catatan studi pada </w:t>
      </w:r>
      <w:r>
        <w:rPr>
          <w:lang w:val="id_ID" w:bidi="id_ID"/>
        </w:rPr>
        <w:t>1Ptr. 3:19–20</w:t>
      </w:r>
      <w:r>
        <w:rPr>
          <w:lang w:val="id_ID" w:bidi="id_ID"/>
        </w:rPr>
        <w:t xml:space="preserve">; </w:t>
      </w:r>
      <w:r>
        <w:rPr>
          <w:lang w:val="id_ID" w:bidi="id_ID"/>
        </w:rPr>
        <w:t>2s 2Ptr. 2:4</w:t>
      </w:r>
      <w:r>
        <w:rPr>
          <w:lang w:val="id_ID" w:bidi="id_ID"/>
        </w:rPr>
        <w:t xml:space="preserve">). Yudas kemudian (dalam </w:t>
      </w:r>
      <w:r>
        <w:rPr>
          <w:lang w:val="id_ID" w:bidi="id_ID"/>
        </w:rPr>
        <w:t>psl. 14–15</w:t>
      </w:r>
      <w:r>
        <w:rPr>
          <w:lang w:val="id_ID" w:bidi="id_ID"/>
        </w:rPr>
        <w:t xml:space="preserve">) mengutip langsung dari </w:t>
      </w:r>
      <w:r>
        <w:rPr>
          <w:i/>
          <w:lang w:val="id_ID" w:bidi="id_ID"/>
        </w:rPr>
        <w:t>1 Henokh</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1:7</w:t>
      </w:r>
      <w:r>
        <w:rPr>
          <w:lang w:val="id_ID" w:bidi="id_ID"/>
        </w:rPr>
      </w:r>
    </w:p>
    <w:p>
      <w:pPr>
        <w:pStyle w:val="ListBullet"/>
        <w:spacing w:line="240" w:lineRule="auto"/>
        <w:ind w:left="720"/>
      </w:pPr>
      <w:r>
        <w:rPr>
          <w:lang w:val="id_ID" w:bidi="id_ID"/>
        </w:rPr>
      </w:r>
      <w:r>
        <w:rPr>
          <w:lang w:val="id_ID" w:bidi="id_ID"/>
        </w:rPr>
        <w:t xml:space="preserve">Penghakiman Allah atas Sodom dan Gomora menjadi sangat dikenal orang (lihat </w:t>
      </w:r>
      <w:r>
        <w:rPr>
          <w:lang w:val="id_ID" w:bidi="id_ID"/>
        </w:rPr>
        <w:t>Kej. 18:17–19:26</w:t>
      </w:r>
      <w:r>
        <w:rPr>
          <w:lang w:val="id_ID" w:bidi="id_ID"/>
        </w:rPr>
        <w:t xml:space="preserve">; </w:t>
      </w:r>
      <w:r>
        <w:rPr>
          <w:lang w:val="id_ID" w:bidi="id_ID"/>
        </w:rPr>
        <w:t>Luk. 17:26–29</w:t>
      </w:r>
      <w:r>
        <w:rPr>
          <w:lang w:val="id_ID" w:bidi="id_ID"/>
        </w:rPr>
        <w:t>).</w:t>
      </w:r>
    </w:p>
    <w:p>
      <w:pPr>
        <w:pStyle w:val="ListBullet"/>
        <w:spacing w:line="240" w:lineRule="auto"/>
        <w:ind w:left="720"/>
      </w:pPr>
      <w:r>
        <w:rPr>
          <w:lang w:val="id_ID" w:bidi="id_ID"/>
        </w:rPr>
      </w:r>
      <w:r>
        <w:rPr>
          <w:i/>
          <w:lang w:val="id_ID" w:bidi="id_ID"/>
        </w:rPr>
        <w:t>Kota-kota sekitarnya</w:t>
      </w:r>
      <w:r>
        <w:rPr>
          <w:lang w:val="id_ID" w:bidi="id_ID"/>
        </w:rPr>
        <w:t xml:space="preserve">: </w:t>
      </w:r>
      <w:r>
        <w:rPr>
          <w:lang w:val="id_ID" w:bidi="id_ID"/>
        </w:rPr>
        <w:t>Ul. 29:23</w:t>
      </w:r>
      <w:r>
        <w:rPr>
          <w:lang w:val="id_ID" w:bidi="id_ID"/>
        </w:rPr>
        <w:t xml:space="preserve"> menyebutkan Adma dan Zeboim.</w:t>
      </w:r>
    </w:p>
    <w:p>
      <w:pPr>
        <w:pStyle w:val="ListBullet"/>
        <w:spacing w:line="240" w:lineRule="auto"/>
        <w:ind w:left="720"/>
      </w:pPr>
      <w:r>
        <w:rPr>
          <w:lang w:val="id_ID" w:bidi="id_ID"/>
        </w:rPr>
      </w:r>
      <w:r>
        <w:rPr>
          <w:i/>
          <w:lang w:val="id_ID" w:bidi="id_ID"/>
        </w:rPr>
        <w:t>percabulan dan mengejar kepuasan-kepuasan yang tak wajar</w:t>
      </w:r>
      <w:r>
        <w:rPr>
          <w:lang w:val="id_ID" w:bidi="id_ID"/>
        </w:rPr>
        <w:t>: ini kemungkinan merujuk pada hubungan seksual antara orang-orang dari jenis kelamin yang sama (</w:t>
      </w:r>
      <w:r>
        <w:rPr>
          <w:lang w:val="id_ID" w:bidi="id_ID"/>
        </w:rPr>
        <w:t>Kej. 19:5–10</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1:8</w:t>
      </w:r>
      <w:r>
        <w:rPr>
          <w:lang w:val="id_ID" w:bidi="id_ID"/>
        </w:rPr>
      </w:r>
    </w:p>
    <w:p>
      <w:pPr/>
      <w:r>
        <w:rPr>
          <w:lang w:val="id_ID" w:bidi="id_ID"/>
        </w:rPr>
      </w:r>
      <w:r>
        <w:rPr>
          <w:i/>
          <w:lang w:val="id_ID" w:bidi="id_ID"/>
        </w:rPr>
        <w:t>semua yang mulia</w:t>
      </w:r>
      <w:r>
        <w:rPr>
          <w:lang w:val="id_ID" w:bidi="id_ID"/>
        </w:rPr>
        <w:t xml:space="preserve">: Ini mungkin merujuk pada malaikat yang jatuh. Dalam Perjanjian Lama dan tradisi Yahudi, malaikat memiliki peran penting dalam pelaksanaan penghakiman ilahi. Para guru-guru palsu mungkin telah meremehkan kenyataan penghakiman di masa depan (lihat </w:t>
      </w:r>
      <w:r>
        <w:rPr>
          <w:lang w:val="id_ID" w:bidi="id_ID"/>
        </w:rPr>
        <w:t>Yud. 1:18</w:t>
      </w:r>
      <w:r>
        <w:rPr>
          <w:lang w:val="id_ID" w:bidi="id_ID"/>
        </w:rPr>
        <w:t xml:space="preserve">; </w:t>
      </w:r>
      <w:r>
        <w:rPr>
          <w:lang w:val="id_ID" w:bidi="id_ID"/>
        </w:rPr>
        <w:t>2 Ptr. 3:3–4</w:t>
      </w:r>
      <w:r>
        <w:rPr>
          <w:lang w:val="id_ID" w:bidi="id_ID"/>
        </w:rPr>
        <w:t xml:space="preserve">) atau menyangkal asal usul mulia dari malaikat-malaikat ini yang memberontak melawan Allah (bandingkan </w:t>
      </w:r>
      <w:r>
        <w:rPr>
          <w:lang w:val="id_ID" w:bidi="id_ID"/>
        </w:rPr>
        <w:t>2Ptr. 2:10</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1:9</w:t>
      </w:r>
      <w:r>
        <w:rPr>
          <w:lang w:val="id_ID" w:bidi="id_ID"/>
        </w:rPr>
      </w:r>
    </w:p>
    <w:p>
      <w:pPr/>
      <w:r>
        <w:rPr>
          <w:lang w:val="id_ID" w:bidi="id_ID"/>
        </w:rPr>
      </w:r>
      <w:r>
        <w:rPr>
          <w:lang w:val="id_ID" w:bidi="id_ID"/>
        </w:rPr>
        <w:t xml:space="preserve">Mikhael adalah salah satu malaikat terkuat. Dalam tradisi Yahudi, "malaikat agung" merupakan pangkat tertinggi dalam hierarki malaikat (lihat juga </w:t>
      </w:r>
      <w:r>
        <w:rPr>
          <w:lang w:val="id_ID" w:bidi="id_ID"/>
        </w:rPr>
        <w:t>1Tes. 4:16</w:t>
      </w:r>
      <w:r>
        <w:rPr>
          <w:lang w:val="id_ID" w:bidi="id_ID"/>
        </w:rPr>
        <w:t>). Mikhael disebutkan beberapa kali dalam Alkitab (</w:t>
      </w:r>
      <w:r>
        <w:rPr>
          <w:lang w:val="id_ID" w:bidi="id_ID"/>
        </w:rPr>
        <w:t>Dan. 10:13</w:t>
      </w:r>
      <w:r>
        <w:rPr>
          <w:lang w:val="id_ID" w:bidi="id_ID"/>
        </w:rPr>
        <w:t xml:space="preserve">, </w:t>
      </w:r>
      <w:r>
        <w:rPr>
          <w:lang w:val="id_ID" w:bidi="id_ID"/>
        </w:rPr>
        <w:t>21</w:t>
      </w:r>
      <w:r>
        <w:rPr>
          <w:lang w:val="id_ID" w:bidi="id_ID"/>
        </w:rPr>
        <w:t xml:space="preserve">; </w:t>
      </w:r>
      <w:r>
        <w:rPr>
          <w:lang w:val="id_ID" w:bidi="id_ID"/>
        </w:rPr>
        <w:t>12:1</w:t>
      </w:r>
      <w:r>
        <w:rPr>
          <w:lang w:val="id_ID" w:bidi="id_ID"/>
        </w:rPr>
        <w:t xml:space="preserve">; </w:t>
      </w:r>
      <w:r>
        <w:rPr>
          <w:lang w:val="id_ID" w:bidi="id_ID"/>
        </w:rPr>
        <w:t>Why. 12:7</w:t>
      </w:r>
      <w:r>
        <w:rPr>
          <w:lang w:val="id_ID" w:bidi="id_ID"/>
        </w:rPr>
        <w:t xml:space="preserve">). Kisah tentang dia bertarung dengan Iblis mengenai tubuh Musa tidak terdapat dalam Perjanjian Lama, tetapi ditemukan dalam tradisi Yahudi (lihat </w:t>
      </w:r>
      <w:r>
        <w:rPr>
          <w:i/>
          <w:lang w:val="id_ID" w:bidi="id_ID"/>
        </w:rPr>
        <w:t>Asumsi Musa</w:t>
      </w:r>
      <w:r>
        <w:rPr>
          <w:i/>
          <w:lang w:val="id_ID" w:bidi="id_ID"/>
        </w:rPr>
        <w:t xml:space="preserve">, </w:t>
      </w:r>
      <w:r>
        <w:rPr>
          <w:lang w:val="id_ID" w:bidi="id_ID"/>
        </w:rPr>
        <w:t xml:space="preserve">juga disebut </w:t>
      </w:r>
      <w:r>
        <w:rPr>
          <w:i/>
          <w:lang w:val="id_ID" w:bidi="id_ID"/>
        </w:rPr>
        <w:t>Perjanjian Musa</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1:11</w:t>
      </w:r>
      <w:r>
        <w:rPr>
          <w:lang w:val="id_ID" w:bidi="id_ID"/>
        </w:rPr>
      </w:r>
    </w:p>
    <w:p>
      <w:pPr>
        <w:pStyle w:val="ListBullet"/>
        <w:spacing w:line="240" w:lineRule="auto"/>
        <w:ind w:left="720"/>
      </w:pPr>
      <w:r>
        <w:rPr>
          <w:lang w:val="id_ID" w:bidi="id_ID"/>
        </w:rPr>
      </w:r>
      <w:r>
        <w:rPr>
          <w:i/>
          <w:lang w:val="id_ID" w:bidi="id_ID"/>
        </w:rPr>
        <w:t>Kain</w:t>
      </w:r>
      <w:r>
        <w:rPr>
          <w:lang w:val="id_ID" w:bidi="id_ID"/>
        </w:rPr>
        <w:t xml:space="preserve">: Lihat </w:t>
      </w:r>
      <w:r>
        <w:rPr>
          <w:lang w:val="id_ID" w:bidi="id_ID"/>
        </w:rPr>
        <w:t>Kej. 4:1–16</w:t>
      </w:r>
      <w:r>
        <w:rPr>
          <w:lang w:val="id_ID" w:bidi="id_ID"/>
        </w:rPr>
        <w:t>.</w:t>
      </w:r>
    </w:p>
    <w:p>
      <w:pPr>
        <w:pStyle w:val="ListBullet"/>
        <w:spacing w:line="240" w:lineRule="auto"/>
        <w:ind w:left="720"/>
      </w:pPr>
      <w:r>
        <w:rPr>
          <w:lang w:val="id_ID" w:bidi="id_ID"/>
        </w:rPr>
      </w:r>
      <w:r>
        <w:rPr>
          <w:i/>
          <w:lang w:val="id_ID" w:bidi="id_ID"/>
        </w:rPr>
        <w:t>Bileam</w:t>
      </w:r>
      <w:r>
        <w:rPr>
          <w:lang w:val="id_ID" w:bidi="id_ID"/>
        </w:rPr>
        <w:t xml:space="preserve">: Lihat </w:t>
      </w:r>
      <w:r>
        <w:rPr>
          <w:lang w:val="id_ID" w:bidi="id_ID"/>
        </w:rPr>
        <w:t>catatan studi pada 2Ptr. 2:15</w:t>
      </w:r>
      <w:r>
        <w:rPr>
          <w:lang w:val="id_ID" w:bidi="id_ID"/>
        </w:rPr>
        <w:t>.</w:t>
      </w:r>
    </w:p>
    <w:p>
      <w:pPr>
        <w:pStyle w:val="ListBullet"/>
        <w:spacing w:line="240" w:lineRule="auto"/>
        <w:ind w:left="720"/>
      </w:pPr>
      <w:r>
        <w:rPr>
          <w:lang w:val="id_ID" w:bidi="id_ID"/>
        </w:rPr>
      </w:r>
      <w:r>
        <w:rPr>
          <w:i/>
          <w:lang w:val="id_ID" w:bidi="id_ID"/>
        </w:rPr>
        <w:t>Korah</w:t>
      </w:r>
      <w:r>
        <w:rPr>
          <w:lang w:val="id_ID" w:bidi="id_ID"/>
        </w:rPr>
        <w:t xml:space="preserve">: Lihat </w:t>
      </w:r>
      <w:r>
        <w:rPr>
          <w:lang w:val="id_ID" w:bidi="id_ID"/>
        </w:rPr>
        <w:t>Bil. 16:1–35</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1:12</w:t>
      </w:r>
      <w:r>
        <w:rPr>
          <w:lang w:val="id_ID" w:bidi="id_ID"/>
        </w:rPr>
      </w:r>
    </w:p>
    <w:p>
      <w:pPr/>
      <w:r>
        <w:rPr>
          <w:lang w:val="id_ID" w:bidi="id_ID"/>
        </w:rPr>
      </w:r>
      <w:r>
        <w:rPr>
          <w:lang w:val="id_ID" w:bidi="id_ID"/>
        </w:rPr>
        <w:t>Orang Kristen mula-mula merayakan Perjamuan Tuhan sebagai bagian dari perjamuan kasih yang mereka lakukan bersama dalam persekutuan.</w:t>
      </w:r>
      <w:r>
        <w:rPr>
          <w:lang w:val="id_ID" w:bidi="id_ID"/>
        </w:rPr>
      </w:r>
      <w:r>
        <w:rPr>
          <w:lang w:val="id_ID" w:bidi="id_ID"/>
        </w:rPr>
      </w:r>
    </w:p>
    <w:p>
      <w:pPr/>
      <w:r>
        <w:rPr>
          <w:lang w:val="id_ID" w:bidi="id_ID"/>
        </w:rPr>
      </w:r>
    </w:p>
    <w:p>
      <w:pPr>
        <w:pStyle w:val="Heading2"/>
      </w:pPr>
      <w:r>
        <w:rPr>
          <w:lang w:val="id_ID" w:bidi="id_ID"/>
        </w:rPr>
        <w:t>Yudas 1:13</w:t>
      </w:r>
      <w:r>
        <w:rPr>
          <w:lang w:val="id_ID" w:bidi="id_ID"/>
        </w:rPr>
      </w:r>
    </w:p>
    <w:p>
      <w:pPr/>
      <w:r>
        <w:rPr>
          <w:lang w:val="id_ID" w:bidi="id_ID"/>
        </w:rPr>
      </w:r>
      <w:r>
        <w:rPr>
          <w:lang w:val="id_ID" w:bidi="id_ID"/>
        </w:rPr>
        <w:t>Dulu, orang-orang mengira planet-planet adalah bintang-bintang pengembara karena pergerakannya yang tidak beraturan di langit. Demikian pula, guru-guru palsu mengembara dengan mengajarkan hal-hal yang tidak benar, dan Allah mengutuk tindakan mereka.</w:t>
      </w:r>
      <w:r>
        <w:rPr>
          <w:lang w:val="id_ID" w:bidi="id_ID"/>
        </w:rPr>
      </w:r>
      <w:r>
        <w:rPr>
          <w:lang w:val="id_ID" w:bidi="id_ID"/>
        </w:rPr>
      </w:r>
    </w:p>
    <w:p>
      <w:pPr/>
      <w:r>
        <w:rPr>
          <w:lang w:val="id_ID" w:bidi="id_ID"/>
        </w:rPr>
      </w:r>
    </w:p>
    <w:p>
      <w:pPr>
        <w:pStyle w:val="Heading2"/>
      </w:pPr>
      <w:r>
        <w:rPr>
          <w:lang w:val="id_ID" w:bidi="id_ID"/>
        </w:rPr>
        <w:t>Yudas 1:14–15</w:t>
      </w:r>
      <w:r>
        <w:rPr>
          <w:lang w:val="id_ID" w:bidi="id_ID"/>
        </w:rPr>
      </w:r>
    </w:p>
    <w:p>
      <w:pPr/>
      <w:r>
        <w:rPr>
          <w:lang w:val="id_ID" w:bidi="id_ID"/>
        </w:rPr>
      </w:r>
      <w:r>
        <w:rPr>
          <w:lang w:val="id_ID" w:bidi="id_ID"/>
        </w:rPr>
        <w:t xml:space="preserve">Henokh adalah keturunan awal dari Adam (lihat </w:t>
      </w:r>
      <w:r>
        <w:rPr>
          <w:lang w:val="id_ID" w:bidi="id_ID"/>
        </w:rPr>
        <w:t>Kej. 5:18–24</w:t>
      </w:r>
      <w:r>
        <w:rPr>
          <w:lang w:val="id_ID" w:bidi="id_ID"/>
        </w:rPr>
        <w:t xml:space="preserve">; </w:t>
      </w:r>
      <w:r>
        <w:rPr>
          <w:lang w:val="id_ID" w:bidi="id_ID"/>
        </w:rPr>
        <w:t>1Taw. 1:3</w:t>
      </w:r>
      <w:r>
        <w:rPr>
          <w:lang w:val="id_ID" w:bidi="id_ID"/>
        </w:rPr>
        <w:t xml:space="preserve">). </w:t>
      </w:r>
      <w:r>
        <w:rPr>
          <w:lang w:val="id_ID" w:bidi="id_ID"/>
        </w:rPr>
        <w:t>Kej. 5:24</w:t>
      </w:r>
      <w:r>
        <w:rPr>
          <w:lang w:val="id_ID" w:bidi="id_ID"/>
        </w:rPr>
        <w:t xml:space="preserve"> menunjukkan bahwa Henokh tidak mengalami kematian, melainkan diangkat langsung ke surga (bandingkan </w:t>
      </w:r>
      <w:r>
        <w:rPr>
          <w:lang w:val="id_ID" w:bidi="id_ID"/>
        </w:rPr>
        <w:t>2Raj. 2:1–13</w:t>
      </w:r>
      <w:r>
        <w:rPr>
          <w:lang w:val="id_ID" w:bidi="id_ID"/>
        </w:rPr>
        <w:t xml:space="preserve">; lihat </w:t>
      </w:r>
      <w:r>
        <w:rPr>
          <w:lang w:val="id_ID" w:bidi="id_ID"/>
        </w:rPr>
        <w:t>Ibr. 11:5</w:t>
      </w:r>
      <w:r>
        <w:rPr>
          <w:lang w:val="id_ID" w:bidi="id_ID"/>
        </w:rPr>
        <w:t>). Pengakuan istimewa dari Allah ini dan penyebutan Henokh yang terbatas dalam Kitab Suci menjadikan Henokh tokoh yang menarik. Literatur Yahudi mengandung beberapa legenda tentangnya, dan setidaknya dua buku penglihatan apokaliptik yang ditulis antara Perjanjian Lama dan Baru dikaitkan dengannya (</w:t>
      </w:r>
      <w:r>
        <w:rPr>
          <w:i/>
          <w:lang w:val="id_ID" w:bidi="id_ID"/>
        </w:rPr>
        <w:t>1–2 Henokh</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1:17</w:t>
      </w:r>
      <w:r>
        <w:rPr>
          <w:lang w:val="id_ID" w:bidi="id_ID"/>
        </w:rPr>
      </w:r>
    </w:p>
    <w:p>
      <w:pPr/>
      <w:r>
        <w:rPr>
          <w:lang w:val="id_ID" w:bidi="id_ID"/>
        </w:rPr>
      </w:r>
      <w:r>
        <w:rPr>
          <w:i/>
          <w:lang w:val="id_ID" w:bidi="id_ID"/>
        </w:rPr>
        <w:t>apa yang dahulu telah dikatakan kepada kamu oleh rasul-rasul Tuhan kita, Yesus Kristus.</w:t>
      </w:r>
      <w:r>
        <w:rPr>
          <w:lang w:val="id_ID" w:bidi="id_ID"/>
        </w:rPr>
        <w:t xml:space="preserve">: Lihat </w:t>
      </w:r>
      <w:r>
        <w:rPr>
          <w:lang w:val="id_ID" w:bidi="id_ID"/>
        </w:rPr>
        <w:t>Kisah 20:29–30</w:t>
      </w:r>
      <w:r>
        <w:rPr>
          <w:lang w:val="id_ID" w:bidi="id_ID"/>
        </w:rPr>
        <w:t xml:space="preserve">, </w:t>
      </w:r>
      <w:r>
        <w:rPr>
          <w:lang w:val="id_ID" w:bidi="id_ID"/>
        </w:rPr>
        <w:t>1Tim. 4:1–3</w:t>
      </w:r>
      <w:r>
        <w:rPr>
          <w:lang w:val="id_ID" w:bidi="id_ID"/>
        </w:rPr>
        <w:t xml:space="preserve">, dan </w:t>
      </w:r>
      <w:r>
        <w:rPr>
          <w:lang w:val="id_ID" w:bidi="id_ID"/>
        </w:rPr>
        <w:t>2Tim. 3:1–5</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1:17–23</w:t>
      </w:r>
      <w:r>
        <w:rPr>
          <w:lang w:val="id_ID" w:bidi="id_ID"/>
        </w:rPr>
      </w:r>
    </w:p>
    <w:p>
      <w:pPr/>
      <w:r>
        <w:rPr>
          <w:lang w:val="id_ID" w:bidi="id_ID"/>
        </w:rPr>
      </w:r>
      <w:r>
        <w:rPr>
          <w:lang w:val="id_ID" w:bidi="id_ID"/>
        </w:rPr>
        <w:t xml:space="preserve">Setelah mengecam para guru-guru palsu, Yudas kembali menguatkan para pembacanya secara langsung (lihat </w:t>
      </w:r>
      <w:r>
        <w:rPr>
          <w:lang w:val="id_ID" w:bidi="id_ID"/>
        </w:rPr>
        <w:t>Yud. 1:3–4</w:t>
      </w:r>
      <w:r>
        <w:rPr>
          <w:lang w:val="id_ID" w:bidi="id_ID"/>
        </w:rPr>
        <w:t>). Para rasul telah memperingatkan mereka tentang ajaran-ajaran palsu (</w:t>
      </w:r>
      <w:r>
        <w:rPr>
          <w:lang w:val="id_ID" w:bidi="id_ID"/>
        </w:rPr>
        <w:t>Yud. 1:17–19</w:t>
      </w:r>
      <w:r>
        <w:rPr>
          <w:lang w:val="id_ID" w:bidi="id_ID"/>
        </w:rPr>
        <w:t>). Mereka harus saling mendukung dalam iman mereka (</w:t>
      </w:r>
      <w:r>
        <w:rPr>
          <w:lang w:val="id_ID" w:bidi="id_ID"/>
        </w:rPr>
        <w:t>Yud. 1:20–21</w:t>
      </w:r>
      <w:r>
        <w:rPr>
          <w:lang w:val="id_ID" w:bidi="id_ID"/>
        </w:rPr>
        <w:t>). Mereka juga harus membantu mereka yang mungkin disesatkan oleh para pengajar palsu (</w:t>
      </w:r>
      <w:r>
        <w:rPr>
          <w:lang w:val="id_ID" w:bidi="id_ID"/>
        </w:rPr>
        <w:t>Yud. 1:22–23</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1:18</w:t>
      </w:r>
      <w:r>
        <w:rPr>
          <w:lang w:val="id_ID" w:bidi="id_ID"/>
        </w:rPr>
      </w:r>
    </w:p>
    <w:p>
      <w:pPr/>
      <w:r>
        <w:rPr>
          <w:lang w:val="id_ID" w:bidi="id_ID"/>
        </w:rPr>
      </w:r>
      <w:r>
        <w:rPr>
          <w:i/>
          <w:lang w:val="id_ID" w:bidi="id_ID"/>
        </w:rPr>
        <w:t>menjelang akhir zaman</w:t>
      </w:r>
      <w:r>
        <w:rPr>
          <w:lang w:val="id_ID" w:bidi="id_ID"/>
        </w:rPr>
        <w:t>: Yesus datang sebagai Mesias (yang dipilih Allah) menandai dimulainya bagian akhir dari rencana Allah. Inilah saat ketika nubuat-nubuat Perjanjian Lama tentang hari-hari terakhir mulai terwujud. Oleh karena itu, Yudas menggunakan nubuat para rasul tentang akhir zaman untuk menghadapi krisis saat ini yang disebabkan oleh guru-guru palsu (</w:t>
      </w:r>
      <w:r>
        <w:rPr>
          <w:lang w:val="id_ID" w:bidi="id_ID"/>
        </w:rPr>
        <w:t>Yud. 1:19</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1:20</w:t>
      </w:r>
      <w:r>
        <w:rPr>
          <w:lang w:val="id_ID" w:bidi="id_ID"/>
        </w:rPr>
      </w:r>
    </w:p>
    <w:p>
      <w:pPr/>
      <w:r>
        <w:rPr>
          <w:lang w:val="id_ID" w:bidi="id_ID"/>
        </w:rPr>
      </w:r>
      <w:r>
        <w:rPr>
          <w:i/>
          <w:lang w:val="id_ID" w:bidi="id_ID"/>
        </w:rPr>
        <w:t>imanmu yang paling suci</w:t>
      </w:r>
      <w:r>
        <w:rPr>
          <w:lang w:val="id_ID" w:bidi="id_ID"/>
        </w:rPr>
        <w:t xml:space="preserve">: Seperti dalam </w:t>
      </w:r>
      <w:r>
        <w:rPr>
          <w:lang w:val="id_ID" w:bidi="id_ID"/>
        </w:rPr>
        <w:t>Yud. 1:3</w:t>
      </w:r>
      <w:r>
        <w:rPr>
          <w:lang w:val="id_ID" w:bidi="id_ID"/>
        </w:rPr>
        <w:t xml:space="preserve">, </w:t>
      </w:r>
      <w:r>
        <w:rPr>
          <w:i/>
          <w:lang w:val="id_ID" w:bidi="id_ID"/>
        </w:rPr>
        <w:t>iman</w:t>
      </w:r>
      <w:r>
        <w:rPr>
          <w:lang w:val="id_ID" w:bidi="id_ID"/>
        </w:rPr>
        <w:t xml:space="preserve"> merujuk pada ajaran dasar yang diyakini oleh orang Kristen. Ajaran ini mencakup hal-hal yang harus dipercayai oleh orang Kristen tentang Allah serta cara hidup yang sesuai dengan iman tersebut. Pengajar palsu mengancam keyakinan ini, sehingga orang percaya harus berkomitmen pada ajaran tersebut.</w:t>
      </w:r>
      <w:r>
        <w:rPr>
          <w:lang w:val="id_ID" w:bidi="id_ID"/>
        </w:rPr>
      </w:r>
      <w:r>
        <w:rPr>
          <w:lang w:val="id_ID" w:bidi="id_ID"/>
        </w:rPr>
      </w:r>
    </w:p>
    <w:p>
      <w:pPr/>
      <w:r>
        <w:rPr>
          <w:lang w:val="id_ID" w:bidi="id_ID"/>
        </w:rPr>
      </w:r>
    </w:p>
    <w:p>
      <w:pPr>
        <w:pStyle w:val="Heading2"/>
      </w:pPr>
      <w:r>
        <w:rPr>
          <w:lang w:val="id_ID" w:bidi="id_ID"/>
        </w:rPr>
        <w:t>Yudas 1:22</w:t>
      </w:r>
      <w:r>
        <w:rPr>
          <w:lang w:val="id_ID" w:bidi="id_ID"/>
        </w:rPr>
      </w:r>
    </w:p>
    <w:p>
      <w:pPr/>
      <w:r>
        <w:rPr>
          <w:lang w:val="id_ID" w:bidi="id_ID"/>
        </w:rPr>
      </w:r>
      <w:r>
        <w:rPr>
          <w:i/>
          <w:lang w:val="id_ID" w:bidi="id_ID"/>
        </w:rPr>
        <w:t>mereka yang ragu-ragu</w:t>
      </w:r>
      <w:r>
        <w:rPr>
          <w:lang w:val="id_ID" w:bidi="id_ID"/>
        </w:rPr>
        <w:t>: Beberapa orang beriman mulai meragukan keyakinan mereka karena ajaran yang disampaikan oleh guru-guru palsu.</w:t>
      </w:r>
      <w:r>
        <w:rPr>
          <w:lang w:val="id_ID" w:bidi="id_ID"/>
        </w:rPr>
      </w:r>
      <w:r>
        <w:rPr>
          <w:lang w:val="id_ID" w:bidi="id_ID"/>
        </w:rPr>
      </w:r>
    </w:p>
    <w:p>
      <w:pPr/>
      <w:r>
        <w:rPr>
          <w:lang w:val="id_ID" w:bidi="id_ID"/>
        </w:rPr>
      </w:r>
    </w:p>
    <w:p>
      <w:pPr>
        <w:pStyle w:val="Heading2"/>
      </w:pPr>
      <w:r>
        <w:rPr>
          <w:lang w:val="id_ID" w:bidi="id_ID"/>
        </w:rPr>
        <w:t>Yudas 1:22–23</w:t>
      </w:r>
      <w:r>
        <w:rPr>
          <w:lang w:val="id_ID" w:bidi="id_ID"/>
        </w:rPr>
      </w:r>
    </w:p>
    <w:p>
      <w:pPr/>
      <w:r>
        <w:rPr>
          <w:lang w:val="id_ID" w:bidi="id_ID"/>
        </w:rPr>
      </w:r>
      <w:r>
        <w:rPr>
          <w:lang w:val="id_ID" w:bidi="id_ID"/>
        </w:rPr>
        <w:t>Berean Standard Bible mengikuti tradisi manuskrip dengan tiga perintah bagi kelompok yang berbeda:</w:t>
      </w:r>
    </w:p>
    <w:p>
      <w:pPr>
        <w:pStyle w:val="ListNumber"/>
        <w:numPr>
          <w:ilvl w:val="0"/>
          <w:numId w:val="14"/>
        </w:numPr>
        <w:spacing w:line="240" w:lineRule="auto"/>
        <w:ind w:left="720"/>
      </w:pPr>
      <w:r>
        <w:rPr>
          <w:lang w:val="id_ID" w:bidi="id_ID"/>
        </w:rPr>
      </w:r>
      <w:r>
        <w:rPr>
          <w:lang w:val="id_ID" w:bidi="id_ID"/>
        </w:rPr>
        <w:t>mereka yang ragu-ragu,</w:t>
      </w:r>
    </w:p>
    <w:p>
      <w:pPr>
        <w:pStyle w:val="ListNumber"/>
        <w:spacing w:line="240" w:lineRule="auto"/>
        <w:ind w:left="720"/>
      </w:pPr>
      <w:r>
        <w:rPr>
          <w:lang w:val="id_ID" w:bidi="id_ID"/>
        </w:rPr>
      </w:r>
      <w:r>
        <w:rPr>
          <w:lang w:val="id_ID" w:bidi="id_ID"/>
        </w:rPr>
        <w:t>mereka yang memerlukan keselamatan dari penghakiman ("dengan menarik mereka dari api"), dan</w:t>
      </w:r>
    </w:p>
    <w:p>
      <w:pPr>
        <w:pStyle w:val="ListNumber"/>
        <w:spacing w:line="240" w:lineRule="auto"/>
        <w:ind w:left="720"/>
      </w:pPr>
      <w:r>
        <w:rPr>
          <w:lang w:val="id_ID" w:bidi="id_ID"/>
        </w:rPr>
      </w:r>
      <w:r>
        <w:rPr>
          <w:lang w:val="id_ID" w:bidi="id_ID"/>
        </w:rPr>
        <w:t>mereka yang membutuhkan belas kasihan.</w:t>
      </w:r>
    </w:p>
    <w:p>
      <w:pPr/>
      <w:r>
        <w:rPr>
          <w:lang w:val="id_ID" w:bidi="id_ID"/>
        </w:rPr>
      </w:r>
      <w:r>
        <w:rPr>
          <w:lang w:val="id_ID" w:bidi="id_ID"/>
        </w:rPr>
        <w:t>Beberapa manuskrip hanya menyebutkan dua kelompok:</w:t>
      </w:r>
    </w:p>
    <w:p>
      <w:pPr>
        <w:pStyle w:val="ListNumber"/>
        <w:numPr>
          <w:ilvl w:val="0"/>
          <w:numId w:val="15"/>
        </w:numPr>
        <w:spacing w:line="240" w:lineRule="auto"/>
        <w:ind w:left="720"/>
      </w:pPr>
      <w:r>
        <w:rPr>
          <w:lang w:val="id_ID" w:bidi="id_ID"/>
        </w:rPr>
      </w:r>
      <w:r>
        <w:rPr>
          <w:lang w:val="id_ID" w:bidi="id_ID"/>
        </w:rPr>
        <w:t>mereka yang imannya goyah membutuhkan penyelamatan dari penghakiman, dan</w:t>
      </w:r>
    </w:p>
    <w:p>
      <w:pPr>
        <w:pStyle w:val="ListNumber"/>
        <w:spacing w:line="240" w:lineRule="auto"/>
        <w:ind w:left="720"/>
      </w:pPr>
      <w:r>
        <w:rPr>
          <w:lang w:val="id_ID" w:bidi="id_ID"/>
        </w:rPr>
      </w:r>
      <w:r>
        <w:rPr>
          <w:lang w:val="id_ID" w:bidi="id_ID"/>
        </w:rPr>
        <w:t>mereka yang membutuhkan belas kasihan.</w:t>
      </w:r>
    </w:p>
    <w:p>
      <w:pPr/>
      <w:r>
        <w:rPr>
          <w:lang w:val="id_ID" w:bidi="id_ID"/>
        </w:rPr>
      </w:r>
      <w:r>
        <w:rPr>
          <w:lang w:val="id_ID" w:bidi="id_ID"/>
        </w:rPr>
        <w:t>Alkitab Standar Berean menggunakan pola tiga bagian yang ditemukan di bagian lain dari surat Yudas (</w:t>
      </w:r>
      <w:r>
        <w:rPr>
          <w:lang w:val="id_ID" w:bidi="id_ID"/>
        </w:rPr>
        <w:t>Yud. 1:5–7</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1:23</w:t>
      </w:r>
      <w:r>
        <w:rPr>
          <w:lang w:val="id_ID" w:bidi="id_ID"/>
        </w:rPr>
      </w:r>
    </w:p>
    <w:p>
      <w:pPr>
        <w:pStyle w:val="ListBullet"/>
        <w:spacing w:line="240" w:lineRule="auto"/>
        <w:ind w:left="720"/>
      </w:pPr>
      <w:r>
        <w:rPr>
          <w:lang w:val="id_ID" w:bidi="id_ID"/>
        </w:rPr>
      </w:r>
      <w:r>
        <w:rPr>
          <w:i/>
          <w:lang w:val="id_ID" w:bidi="id_ID"/>
        </w:rPr>
        <w:t>selamatkanlah mereka</w:t>
      </w:r>
      <w:r>
        <w:rPr>
          <w:lang w:val="id_ID" w:bidi="id_ID"/>
        </w:rPr>
        <w:t>: Beberapa orang beriman sangat terpengaruh oleh guru-guru palsu sehingga mereka berada dalam bahaya langsung untuk mendapatkan hukuman.</w:t>
      </w:r>
    </w:p>
    <w:p>
      <w:pPr>
        <w:pStyle w:val="ListBullet"/>
        <w:spacing w:line="240" w:lineRule="auto"/>
        <w:ind w:left="720"/>
      </w:pPr>
      <w:r>
        <w:rPr>
          <w:lang w:val="id_ID" w:bidi="id_ID"/>
        </w:rPr>
      </w:r>
      <w:r>
        <w:rPr>
          <w:i/>
          <w:lang w:val="id_ID" w:bidi="id_ID"/>
        </w:rPr>
        <w:t>tunjukkanlah belas kasihan yang disertai ketakutan kepada orang-orang lain</w:t>
      </w:r>
      <w:r>
        <w:rPr>
          <w:lang w:val="id_ID" w:bidi="id_ID"/>
        </w:rPr>
        <w:t xml:space="preserve">: Kelompok ini mungkin termasuk guru-guru palsu itu sendiri atau orang-orang lain yang mengikuti ajaran mereka. Menunjukkan belas kasihan berarti bisa mendoakan mereka(lihat </w:t>
      </w:r>
      <w:r>
        <w:rPr>
          <w:lang w:val="id_ID" w:bidi="id_ID"/>
        </w:rPr>
        <w:t>Mat. 5:44</w:t>
      </w:r>
      <w:r>
        <w:rPr>
          <w:lang w:val="id_ID" w:bidi="id_ID"/>
        </w:rPr>
        <w:t>).</w:t>
      </w:r>
    </w:p>
    <w:p>
      <w:pPr>
        <w:pStyle w:val="ListBullet"/>
        <w:spacing w:line="240" w:lineRule="auto"/>
        <w:ind w:left="720"/>
      </w:pPr>
      <w:r>
        <w:rPr>
          <w:lang w:val="id_ID" w:bidi="id_ID"/>
        </w:rPr>
      </w:r>
      <w:r>
        <w:rPr>
          <w:lang w:val="id_ID" w:bidi="id_ID"/>
        </w:rPr>
        <w:t xml:space="preserve">Orang-orang percaya harus sangat berhati-hati ketika menunjukkan belas kasihan kepada guru palsu dan mereka yang telah mengadopsi cara hidup berdosa mereka, karena dosa mereka bisa menggoda. Lihat </w:t>
      </w:r>
      <w:r>
        <w:rPr>
          <w:lang w:val="id_ID" w:bidi="id_ID"/>
        </w:rPr>
        <w:t>Za. 3:1–4</w:t>
      </w:r>
      <w:r>
        <w:rPr>
          <w:lang w:val="id_ID" w:bidi="id_ID"/>
        </w:rPr>
        <w:t xml:space="preserve">; </w:t>
      </w:r>
      <w:r>
        <w:rPr>
          <w:lang w:val="id_ID" w:bidi="id_ID"/>
        </w:rPr>
        <w:t>Why. 3:4</w:t>
      </w:r>
      <w:r>
        <w:rPr>
          <w:lang w:val="id_ID" w:bidi="id_ID"/>
        </w:rPr>
        <w:t>.</w:t>
      </w:r>
      <w:r>
        <w:rPr>
          <w:lang w:val="id_ID" w:bidi="id_ID"/>
        </w:rPr>
      </w:r>
      <w:r>
        <w:rPr>
          <w:lang w:val="id_ID" w:bidi="id_ID"/>
        </w:rPr>
      </w:r>
    </w:p>
    <w:p>
      <w:pPr/>
      <w:r>
        <w:rPr>
          <w:lang w:val="id_ID" w:bidi="id_ID"/>
        </w:rPr>
      </w:r>
    </w:p>
    <w:p>
      <w:pPr>
        <w:pStyle w:val="Heading2"/>
      </w:pPr>
      <w:r>
        <w:rPr>
          <w:lang w:val="id_ID" w:bidi="id_ID"/>
        </w:rPr>
        <w:t>Yudas 1:24–25</w:t>
      </w:r>
      <w:r>
        <w:rPr>
          <w:lang w:val="id_ID" w:bidi="id_ID"/>
        </w:rPr>
      </w:r>
    </w:p>
    <w:p>
      <w:pPr/>
      <w:r>
        <w:rPr>
          <w:lang w:val="id_ID" w:bidi="id_ID"/>
        </w:rPr>
      </w:r>
      <w:r>
        <w:rPr>
          <w:lang w:val="id_ID" w:bidi="id_ID"/>
        </w:rPr>
        <w:t>Yudas mengakhiri suratnya dengan pujian yang penuh kuasa kepada Allah, yang sering dikutip selama waktu ibadah. Kata-katanya sangat relevan bagi orang-orang yang menerima suratnya. Mereka memerlukan pemahaman yang diperbarui tentang Allah. Orang-orang percaya perlu mengingat bahwa Allah cukup kuat untuk membantu mereka tetap setia kepada-Nya. Mereka juga perlu percaya bahwa Allah dapat melindungi mereka dari keyakinan yang salah. Kemuliaan, keagungan, kekuatan, dan otoritas milik Allah, Dia sanggup membawa umat-Nya masuk ke dalam hadirat-Nya yang mulia untuk selama-lamanya.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