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في العَهْدِ القَدِيمِ، غالبًا ما تشيرُ هذه الصُّورَةُ إلى الجحيمِ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bidi/>
      </w:pPr>
      <w:r>
        <w:rPr>
          <w:lang w:val="ar_AE" w:bidi="ar_AE"/>
        </w:rPr>
      </w:r>
      <w:r>
        <w:rPr>
          <w:lang w:val="ar_AE" w:bidi="ar_AE"/>
        </w:rPr>
        <w:t xml:space="preserve">لقد سَاورَ القَلَقُ الفلسطينِيِّين بشأن ولاء داود، وأُحضروه أمام المَلِك </w:t>
      </w:r>
      <w:r>
        <w:rPr>
          <w:lang w:val="ar_AE" w:bidi="ar_AE"/>
        </w:rPr>
        <w:t xml:space="preserve">أَخِيش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bidi/>
      </w:pPr>
      <w:r>
        <w:rPr>
          <w:lang w:val="ar_AE" w:bidi="ar_AE"/>
        </w:rPr>
      </w:r>
      <w:r>
        <w:rPr>
          <w:lang w:val="ar_AE" w:bidi="ar_AE"/>
        </w:rPr>
        <w:t>ربما يكونُ كاتبُ المزمور حكيمًا عاصر المَلِكِ سُلَيْمَان (</w:t>
      </w:r>
      <w:hyperlink r:id="rId1631">
        <w:r>
          <w:rPr>
            <w:lang w:val="ar_AE" w:bidi="ar_AE"/>
          </w:rPr>
          <w:rPr>
            <w:color w:val="0000EE"/>
            <w:u w:val="single"/>
          </w:rPr>
          <w:t>1 المُلُوك 4:31</w:t>
        </w:r>
      </w:hyperlink>
      <w:r>
        <w:rPr>
          <w:lang w:val="ar_AE" w:bidi="ar_AE"/>
        </w:rPr>
        <w:t>)، أو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