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3">
        <w:r>
          <w:rPr>
            <w:lang w:val="fr_FR" w:bidi="fr_FR"/>
          </w:rPr>
          <w:rPr>
            <w:color w:val="0000EE"/>
            <w:u w:val="single"/>
          </w:rPr>
          <w:t xml:space="preserve">Esd 2.1–2 </w:t>
        </w:r>
      </w:hyperlink>
      <w:r>
        <w:rPr>
          <w:lang w:val="fr_FR" w:bidi="fr_FR"/>
        </w:rPr>
        <w:t xml:space="preserve">; </w:t>
      </w:r>
      <w:hyperlink r:id="rId14">
        <w:r>
          <w:rPr>
            <w:lang w:val="fr_FR" w:bidi="fr_FR"/>
          </w:rPr>
          <w:rPr>
            <w:color w:val="0000EE"/>
            <w:u w:val="single"/>
          </w:rPr>
          <w:t xml:space="preserve">3.2 </w:t>
        </w:r>
      </w:hyperlink>
      <w:r>
        <w:rPr>
          <w:lang w:val="fr_FR" w:bidi="fr_FR"/>
        </w:rPr>
        <w:t xml:space="preserve">; </w:t>
      </w:r>
      <w:hyperlink r:id="rId15">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4">
        <w:r>
          <w:rPr>
            <w:lang w:val="fr_FR" w:bidi="fr_FR"/>
          </w:rPr>
          <w:rPr>
            <w:color w:val="0000EE"/>
            <w:u w:val="single"/>
          </w:rPr>
          <w:t xml:space="preserve">Esd 3.2 </w:t>
        </w:r>
      </w:hyperlink>
      <w:r>
        <w:rPr>
          <w:lang w:val="fr_FR" w:bidi="fr_FR"/>
        </w:rPr>
        <w:t xml:space="preserve">; </w:t>
      </w:r>
      <w:hyperlink r:id="rId16">
        <w:r>
          <w:rPr>
            <w:lang w:val="fr_FR" w:bidi="fr_FR"/>
          </w:rPr>
          <w:rPr>
            <w:color w:val="0000EE"/>
            <w:u w:val="single"/>
          </w:rPr>
          <w:t xml:space="preserve">5.2 </w:t>
        </w:r>
      </w:hyperlink>
      <w:r>
        <w:rPr>
          <w:lang w:val="fr_FR" w:bidi="fr_FR"/>
        </w:rPr>
        <w:t xml:space="preserve">; </w:t>
      </w:r>
      <w:hyperlink r:id="rId17">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18">
        <w:r>
          <w:rPr>
            <w:lang w:val="fr_FR" w:bidi="fr_FR"/>
          </w:rPr>
          <w:rPr>
            <w:color w:val="0000EE"/>
            <w:u w:val="single"/>
          </w:rPr>
          <w:t>2R 6.17</w:t>
        </w:r>
      </w:hyperlink>
      <w:r>
        <w:rPr>
          <w:lang w:val="fr_FR" w:bidi="fr_FR"/>
        </w:rPr>
        <w:t xml:space="preserve"> ; </w:t>
      </w:r>
      <w:hyperlink r:id="rId19">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0">
        <w:r>
          <w:rPr>
            <w:lang w:val="fr_FR" w:bidi="fr_FR"/>
          </w:rPr>
          <w:rPr>
            <w:color w:val="0000EE"/>
            <w:u w:val="single"/>
          </w:rPr>
          <w:t>Ag 1.6</w:t>
        </w:r>
      </w:hyperlink>
      <w:r>
        <w:rPr>
          <w:lang w:val="fr_FR" w:bidi="fr_FR"/>
        </w:rPr>
        <w:t xml:space="preserve">, </w:t>
      </w:r>
      <w:hyperlink r:id="rId21">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4">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5">
        <w:r>
          <w:rPr>
            <w:lang w:val="fr_FR" w:bidi="fr_FR"/>
          </w:rPr>
          <w:rPr>
            <w:color w:val="0000EE"/>
            <w:u w:val="single"/>
          </w:rPr>
          <w:t xml:space="preserve">1.7 </w:t>
        </w:r>
      </w:hyperlink>
      <w:r>
        <w:rPr>
          <w:lang w:val="fr_FR" w:bidi="fr_FR"/>
        </w:rPr>
        <w:t xml:space="preserve">; </w:t>
      </w:r>
      <w:hyperlink r:id="rId26">
        <w:r>
          <w:rPr>
            <w:lang w:val="fr_FR" w:bidi="fr_FR"/>
          </w:rPr>
          <w:rPr>
            <w:color w:val="0000EE"/>
            <w:u w:val="single"/>
          </w:rPr>
          <w:t>2.15</w:t>
        </w:r>
      </w:hyperlink>
      <w:r>
        <w:rPr>
          <w:lang w:val="fr_FR" w:bidi="fr_FR"/>
        </w:rPr>
        <w:t xml:space="preserve">, </w:t>
      </w:r>
      <w:hyperlink r:id="rId27">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0">
        <w:r>
          <w:rPr>
            <w:lang w:val="fr_FR" w:bidi="fr_FR"/>
          </w:rPr>
          <w:rPr>
            <w:color w:val="0000EE"/>
            <w:u w:val="single"/>
          </w:rPr>
          <w:t>1.6</w:t>
        </w:r>
      </w:hyperlink>
      <w:r>
        <w:rPr>
          <w:lang w:val="fr_FR" w:bidi="fr_FR"/>
        </w:rPr>
        <w:t>) et leur échec à restaurer le culte approprié du Seigneur (</w:t>
      </w:r>
      <w:hyperlink r:id="rId28">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29">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0">
        <w:r>
          <w:rPr>
            <w:lang w:val="fr_FR" w:bidi="fr_FR"/>
          </w:rPr>
          <w:rPr>
            <w:color w:val="0000EE"/>
            <w:u w:val="single"/>
          </w:rPr>
          <w:t>1.13</w:t>
        </w:r>
      </w:hyperlink>
      <w:r>
        <w:rPr>
          <w:lang w:val="fr_FR" w:bidi="fr_FR"/>
        </w:rPr>
        <w:t xml:space="preserve"> ; </w:t>
      </w:r>
      <w:hyperlink r:id="rId31">
        <w:r>
          <w:rPr>
            <w:lang w:val="fr_FR" w:bidi="fr_FR"/>
          </w:rPr>
          <w:rPr>
            <w:color w:val="0000EE"/>
            <w:u w:val="single"/>
          </w:rPr>
          <w:t>2.8</w:t>
        </w:r>
      </w:hyperlink>
      <w:r>
        <w:rPr>
          <w:lang w:val="fr_FR" w:bidi="fr_FR"/>
        </w:rPr>
        <w:t xml:space="preserve">, </w:t>
      </w:r>
      <w:hyperlink r:id="rId32">
        <w:r>
          <w:rPr>
            <w:lang w:val="fr_FR" w:bidi="fr_FR"/>
          </w:rPr>
          <w:rPr>
            <w:color w:val="0000EE"/>
            <w:u w:val="single"/>
          </w:rPr>
          <w:t>17</w:t>
        </w:r>
      </w:hyperlink>
      <w:r>
        <w:rPr>
          <w:lang w:val="fr_FR" w:bidi="fr_FR"/>
        </w:rPr>
        <w:t xml:space="preserve">, </w:t>
      </w:r>
      <w:hyperlink r:id="rId33">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4">
        <w:r>
          <w:rPr>
            <w:lang w:val="fr_FR" w:bidi="fr_FR"/>
          </w:rPr>
          <w:rPr>
            <w:color w:val="0000EE"/>
            <w:u w:val="single"/>
          </w:rPr>
          <w:t>Dt 28.15–68</w:t>
        </w:r>
      </w:hyperlink>
      <w:r>
        <w:rPr>
          <w:lang w:val="fr_FR" w:bidi="fr_FR"/>
        </w:rPr>
        <w:t xml:space="preserve">, en particulier les versets </w:t>
      </w:r>
      <w:hyperlink r:id="rId35">
        <w:r>
          <w:rPr>
            <w:lang w:val="fr_FR" w:bidi="fr_FR"/>
          </w:rPr>
          <w:rPr>
            <w:color w:val="0000EE"/>
            <w:u w:val="single"/>
          </w:rPr>
          <w:t>22–24</w:t>
        </w:r>
      </w:hyperlink>
      <w:r>
        <w:rPr>
          <w:lang w:val="fr_FR" w:bidi="fr_FR"/>
        </w:rPr>
        <w:t xml:space="preserve">, </w:t>
      </w:r>
      <w:hyperlink r:id="rId36">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2">
        <w:r>
          <w:rPr>
            <w:lang w:val="fr_FR" w:bidi="fr_FR"/>
          </w:rPr>
          <w:rPr>
            <w:color w:val="0000EE"/>
            <w:u w:val="single"/>
          </w:rPr>
          <w:t>Ag 1.4</w:t>
        </w:r>
      </w:hyperlink>
      <w:r>
        <w:rPr>
          <w:lang w:val="fr_FR" w:bidi="fr_FR"/>
        </w:rPr>
        <w:t xml:space="preserve">, </w:t>
      </w:r>
      <w:hyperlink r:id="rId37">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38">
        <w:r>
          <w:rPr>
            <w:lang w:val="fr_FR" w:bidi="fr_FR"/>
          </w:rPr>
          <w:rPr>
            <w:color w:val="0000EE"/>
            <w:u w:val="single"/>
          </w:rPr>
          <w:t>2.4–5</w:t>
        </w:r>
      </w:hyperlink>
      <w:r>
        <w:rPr>
          <w:lang w:val="fr_FR" w:bidi="fr_FR"/>
        </w:rPr>
        <w:t xml:space="preserve"> ; voir </w:t>
      </w:r>
      <w:hyperlink r:id="rId39">
        <w:r>
          <w:rPr>
            <w:lang w:val="fr_FR" w:bidi="fr_FR"/>
          </w:rPr>
          <w:rPr>
            <w:color w:val="0000EE"/>
            <w:u w:val="single"/>
          </w:rPr>
          <w:t>Gn 26.3</w:t>
        </w:r>
      </w:hyperlink>
      <w:r>
        <w:rPr>
          <w:lang w:val="fr_FR" w:bidi="fr_FR"/>
        </w:rPr>
        <w:t xml:space="preserve"> ; </w:t>
      </w:r>
      <w:hyperlink r:id="rId40">
        <w:r>
          <w:rPr>
            <w:lang w:val="fr_FR" w:bidi="fr_FR"/>
          </w:rPr>
          <w:rPr>
            <w:color w:val="0000EE"/>
            <w:u w:val="single"/>
          </w:rPr>
          <w:t>Ex 3.12</w:t>
        </w:r>
      </w:hyperlink>
      <w:r>
        <w:rPr>
          <w:lang w:val="fr_FR" w:bidi="fr_FR"/>
        </w:rPr>
        <w:t xml:space="preserve"> ; </w:t>
      </w:r>
      <w:hyperlink r:id="rId41">
        <w:r>
          <w:rPr>
            <w:lang w:val="fr_FR" w:bidi="fr_FR"/>
          </w:rPr>
          <w:rPr>
            <w:color w:val="0000EE"/>
            <w:u w:val="single"/>
          </w:rPr>
          <w:t>Es 41.10</w:t>
        </w:r>
      </w:hyperlink>
      <w:r>
        <w:rPr>
          <w:lang w:val="fr_FR" w:bidi="fr_FR"/>
        </w:rPr>
        <w:t xml:space="preserve"> ; </w:t>
      </w:r>
      <w:hyperlink r:id="rId42">
        <w:r>
          <w:rPr>
            <w:lang w:val="fr_FR" w:bidi="fr_FR"/>
          </w:rPr>
          <w:rPr>
            <w:color w:val="0000EE"/>
            <w:u w:val="single"/>
          </w:rPr>
          <w:t>43.5</w:t>
        </w:r>
      </w:hyperlink>
      <w:r>
        <w:rPr>
          <w:lang w:val="fr_FR" w:bidi="fr_FR"/>
        </w:rPr>
        <w:t xml:space="preserve"> ; </w:t>
      </w:r>
      <w:hyperlink r:id="rId43">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4">
        <w:r>
          <w:rPr>
            <w:lang w:val="fr_FR" w:bidi="fr_FR"/>
          </w:rPr>
          <w:rPr>
            <w:color w:val="0000EE"/>
            <w:u w:val="single"/>
          </w:rPr>
          <w:t xml:space="preserve">Esd 1.1 </w:t>
        </w:r>
      </w:hyperlink>
      <w:r>
        <w:rPr>
          <w:lang w:val="fr_FR" w:bidi="fr_FR"/>
        </w:rPr>
        <w:t xml:space="preserve">; </w:t>
      </w:r>
      <w:hyperlink r:id="rId45">
        <w:r>
          <w:rPr>
            <w:lang w:val="fr_FR" w:bidi="fr_FR"/>
          </w:rPr>
          <w:rPr>
            <w:color w:val="0000EE"/>
            <w:u w:val="single"/>
          </w:rPr>
          <w:t xml:space="preserve">Es 13.17 </w:t>
        </w:r>
      </w:hyperlink>
      <w:r>
        <w:rPr>
          <w:lang w:val="fr_FR" w:bidi="fr_FR"/>
        </w:rPr>
        <w:t xml:space="preserve">; </w:t>
      </w:r>
      <w:hyperlink r:id="rId46">
        <w:r>
          <w:rPr>
            <w:lang w:val="fr_FR" w:bidi="fr_FR"/>
          </w:rPr>
          <w:rPr>
            <w:color w:val="0000EE"/>
            <w:u w:val="single"/>
          </w:rPr>
          <w:t xml:space="preserve">41.25 </w:t>
        </w:r>
      </w:hyperlink>
      <w:r>
        <w:rPr>
          <w:lang w:val="fr_FR" w:bidi="fr_FR"/>
        </w:rPr>
        <w:t xml:space="preserve">; </w:t>
      </w:r>
      <w:hyperlink r:id="rId47">
        <w:r>
          <w:rPr>
            <w:lang w:val="fr_FR" w:bidi="fr_FR"/>
          </w:rPr>
          <w:rPr>
            <w:color w:val="0000EE"/>
            <w:u w:val="single"/>
          </w:rPr>
          <w:t>Jr 51.1</w:t>
        </w:r>
      </w:hyperlink>
      <w:r>
        <w:rPr>
          <w:lang w:val="fr_FR" w:bidi="fr_FR"/>
        </w:rPr>
        <w:t xml:space="preserve">, </w:t>
      </w:r>
      <w:hyperlink r:id="rId48">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49">
        <w:r>
          <w:rPr>
            <w:lang w:val="fr_FR" w:bidi="fr_FR"/>
          </w:rPr>
          <w:rPr>
            <w:color w:val="0000EE"/>
            <w:u w:val="single"/>
          </w:rPr>
          <w:t>Lv 23.34–43</w:t>
        </w:r>
      </w:hyperlink>
      <w:r>
        <w:rPr>
          <w:lang w:val="fr_FR" w:bidi="fr_FR"/>
        </w:rPr>
        <w:t>). Des centaines d’années plus tôt, le Temple de Salomon avait été consacré pendant ce festival (</w:t>
      </w:r>
      <w:hyperlink r:id="rId50">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1">
        <w:r>
          <w:rPr>
            <w:lang w:val="fr_FR" w:bidi="fr_FR"/>
          </w:rPr>
          <w:rPr>
            <w:color w:val="0000EE"/>
            <w:u w:val="single"/>
          </w:rPr>
          <w:t>Es 35</w:t>
        </w:r>
      </w:hyperlink>
      <w:r>
        <w:rPr>
          <w:lang w:val="fr_FR" w:bidi="fr_FR"/>
        </w:rPr>
        <w:t xml:space="preserve"> ; </w:t>
      </w:r>
      <w:hyperlink r:id="rId52">
        <w:r>
          <w:rPr>
            <w:lang w:val="fr_FR" w:bidi="fr_FR"/>
          </w:rPr>
          <w:rPr>
            <w:color w:val="0000EE"/>
            <w:u w:val="single"/>
          </w:rPr>
          <w:t>40.1–11</w:t>
        </w:r>
      </w:hyperlink>
      <w:r>
        <w:rPr>
          <w:lang w:val="fr_FR" w:bidi="fr_FR"/>
        </w:rPr>
        <w:t xml:space="preserve"> ; </w:t>
      </w:r>
      <w:hyperlink r:id="rId53">
        <w:r>
          <w:rPr>
            <w:lang w:val="fr_FR" w:bidi="fr_FR"/>
          </w:rPr>
          <w:rPr>
            <w:color w:val="0000EE"/>
            <w:u w:val="single"/>
          </w:rPr>
          <w:t>52.1–12</w:t>
        </w:r>
      </w:hyperlink>
      <w:r>
        <w:rPr>
          <w:lang w:val="fr_FR" w:bidi="fr_FR"/>
        </w:rPr>
        <w:t xml:space="preserve"> ; </w:t>
      </w:r>
      <w:hyperlink r:id="rId54">
        <w:r>
          <w:rPr>
            <w:lang w:val="fr_FR" w:bidi="fr_FR"/>
          </w:rPr>
          <w:rPr>
            <w:color w:val="0000EE"/>
            <w:u w:val="single"/>
          </w:rPr>
          <w:t xml:space="preserve">Jr 32.36–44 </w:t>
        </w:r>
      </w:hyperlink>
      <w:r>
        <w:rPr>
          <w:lang w:val="fr_FR" w:bidi="fr_FR"/>
        </w:rPr>
        <w:t xml:space="preserve">; </w:t>
      </w:r>
      <w:hyperlink r:id="rId55">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6">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7">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58">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59">
        <w:r>
          <w:rPr>
            <w:lang w:val="fr_FR" w:bidi="fr_FR"/>
          </w:rPr>
          <w:rPr>
            <w:color w:val="0000EE"/>
            <w:u w:val="single"/>
          </w:rPr>
          <w:t>Ex 29.46</w:t>
        </w:r>
      </w:hyperlink>
      <w:r>
        <w:rPr>
          <w:lang w:val="fr_FR" w:bidi="fr_FR"/>
        </w:rPr>
        <w:t xml:space="preserve"> ; </w:t>
      </w:r>
      <w:hyperlink r:id="rId60">
        <w:r>
          <w:rPr>
            <w:lang w:val="fr_FR" w:bidi="fr_FR"/>
          </w:rPr>
          <w:rPr>
            <w:color w:val="0000EE"/>
            <w:u w:val="single"/>
          </w:rPr>
          <w:t>Es 63.11</w:t>
        </w:r>
      </w:hyperlink>
      <w:r>
        <w:rPr>
          <w:lang w:val="fr_FR" w:bidi="fr_FR"/>
        </w:rPr>
        <w:t xml:space="preserve"> ; </w:t>
      </w:r>
      <w:hyperlink r:id="rId61">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2">
        <w:r>
          <w:rPr>
            <w:lang w:val="fr_FR" w:bidi="fr_FR"/>
          </w:rPr>
          <w:rPr>
            <w:color w:val="0000EE"/>
            <w:u w:val="single"/>
          </w:rPr>
          <w:t>Gn 15.18</w:t>
        </w:r>
      </w:hyperlink>
      <w:r>
        <w:rPr>
          <w:lang w:val="fr_FR" w:bidi="fr_FR"/>
        </w:rPr>
        <w:t xml:space="preserve"> ; </w:t>
      </w:r>
      <w:hyperlink r:id="rId63">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4">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5">
        <w:r>
          <w:rPr>
            <w:lang w:val="fr_FR" w:bidi="fr_FR"/>
          </w:rPr>
          <w:rPr>
            <w:color w:val="0000EE"/>
            <w:u w:val="single"/>
          </w:rPr>
          <w:t>Es 2.19–21</w:t>
        </w:r>
      </w:hyperlink>
      <w:r>
        <w:rPr>
          <w:lang w:val="fr_FR" w:bidi="fr_FR"/>
        </w:rPr>
        <w:t xml:space="preserve">; </w:t>
      </w:r>
      <w:hyperlink r:id="rId66">
        <w:r>
          <w:rPr>
            <w:lang w:val="fr_FR" w:bidi="fr_FR"/>
          </w:rPr>
          <w:rPr>
            <w:color w:val="0000EE"/>
            <w:u w:val="single"/>
          </w:rPr>
          <w:t>30.28</w:t>
        </w:r>
      </w:hyperlink>
      <w:r>
        <w:rPr>
          <w:lang w:val="fr_FR" w:bidi="fr_FR"/>
        </w:rPr>
        <w:t>). Le précédent tremblement était le jugement sur l'Égypte au moment de l'Exode (</w:t>
      </w:r>
      <w:hyperlink r:id="rId67">
        <w:r>
          <w:rPr>
            <w:lang w:val="fr_FR" w:bidi="fr_FR"/>
          </w:rPr>
          <w:rPr>
            <w:color w:val="0000EE"/>
            <w:u w:val="single"/>
          </w:rPr>
          <w:t>Ag 2.21–22</w:t>
        </w:r>
      </w:hyperlink>
      <w:r>
        <w:rPr>
          <w:lang w:val="fr_FR" w:bidi="fr_FR"/>
        </w:rPr>
        <w:t xml:space="preserve">; </w:t>
      </w:r>
      <w:hyperlink r:id="rId68">
        <w:r>
          <w:rPr>
            <w:lang w:val="fr_FR" w:bidi="fr_FR"/>
          </w:rPr>
          <w:rPr>
            <w:color w:val="0000EE"/>
            <w:u w:val="single"/>
          </w:rPr>
          <w:t>Ex 14.31</w:t>
        </w:r>
      </w:hyperlink>
      <w:r>
        <w:rPr>
          <w:lang w:val="fr_FR" w:bidi="fr_FR"/>
        </w:rPr>
        <w:t>). Le Nouveau Testament évoque le retour imminent de Jésus-Christ (</w:t>
      </w:r>
      <w:hyperlink r:id="rId69">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0">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1">
        <w:r>
          <w:rPr>
            <w:lang w:val="fr_FR" w:bidi="fr_FR"/>
          </w:rPr>
          <w:rPr>
            <w:color w:val="0000EE"/>
            <w:u w:val="single"/>
          </w:rPr>
          <w:t>Ml 3.1</w:t>
        </w:r>
      </w:hyperlink>
      <w:r>
        <w:rPr>
          <w:lang w:val="fr_FR" w:bidi="fr_FR"/>
        </w:rPr>
        <w:t>). Jésus a été présenté enfant dans le Temple du Seigneur (</w:t>
      </w:r>
      <w:hyperlink r:id="rId72">
        <w:r>
          <w:rPr>
            <w:lang w:val="fr_FR" w:bidi="fr_FR"/>
          </w:rPr>
          <w:rPr>
            <w:color w:val="0000EE"/>
            <w:u w:val="single"/>
          </w:rPr>
          <w:t>Lc 2.22</w:t>
        </w:r>
      </w:hyperlink>
      <w:r>
        <w:rPr>
          <w:lang w:val="fr_FR" w:bidi="fr_FR"/>
        </w:rPr>
        <w:t>), et il y a enseigné une fois adulte (</w:t>
      </w:r>
      <w:hyperlink r:id="rId73">
        <w:r>
          <w:rPr>
            <w:lang w:val="fr_FR" w:bidi="fr_FR"/>
          </w:rPr>
          <w:rPr>
            <w:color w:val="0000EE"/>
            <w:u w:val="single"/>
          </w:rPr>
          <w:t>Lc 19.45–47</w:t>
        </w:r>
      </w:hyperlink>
      <w:r>
        <w:rPr>
          <w:lang w:val="fr_FR" w:bidi="fr_FR"/>
        </w:rPr>
        <w:t>). Jésus, la Parole humaine de Dieu, est plus grand que le Temple (</w:t>
      </w:r>
      <w:hyperlink r:id="rId74">
        <w:r>
          <w:rPr>
            <w:lang w:val="fr_FR" w:bidi="fr_FR"/>
          </w:rPr>
          <w:rPr>
            <w:color w:val="0000EE"/>
            <w:u w:val="single"/>
          </w:rPr>
          <w:t>Mt 12.6</w:t>
        </w:r>
      </w:hyperlink>
      <w:r>
        <w:rPr>
          <w:lang w:val="fr_FR" w:bidi="fr_FR"/>
        </w:rPr>
        <w:t xml:space="preserve"> ; voir </w:t>
      </w:r>
      <w:hyperlink r:id="rId75">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6">
        <w:r>
          <w:rPr>
            <w:lang w:val="fr_FR" w:bidi="fr_FR"/>
          </w:rPr>
          <w:rPr>
            <w:color w:val="0000EE"/>
            <w:u w:val="single"/>
          </w:rPr>
          <w:t>Lc 2.29–32</w:t>
        </w:r>
      </w:hyperlink>
      <w:r>
        <w:rPr>
          <w:lang w:val="fr_FR" w:bidi="fr_FR"/>
        </w:rPr>
        <w:t>). • Et c’est dans ce lieu que je donnerai la paix : la bénédiction sacerdotale (</w:t>
      </w:r>
      <w:hyperlink r:id="rId77">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78">
        <w:r>
          <w:rPr>
            <w:lang w:val="fr_FR" w:bidi="fr_FR"/>
          </w:rPr>
          <w:rPr>
            <w:color w:val="0000EE"/>
            <w:u w:val="single"/>
          </w:rPr>
          <w:t>Ez 34.25</w:t>
        </w:r>
      </w:hyperlink>
      <w:r>
        <w:rPr>
          <w:lang w:val="fr_FR" w:bidi="fr_FR"/>
        </w:rPr>
        <w:t xml:space="preserve"> ; </w:t>
      </w:r>
      <w:hyperlink r:id="rId79">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1">
        <w:r>
          <w:rPr>
            <w:lang w:val="fr_FR" w:bidi="fr_FR"/>
          </w:rPr>
          <w:rPr>
            <w:color w:val="0000EE"/>
            <w:u w:val="single"/>
          </w:rPr>
          <w:t xml:space="preserve">Dt 33.10 </w:t>
        </w:r>
      </w:hyperlink>
      <w:r>
        <w:rPr>
          <w:lang w:val="fr_FR" w:bidi="fr_FR"/>
        </w:rPr>
        <w:t xml:space="preserve">; </w:t>
      </w:r>
      <w:hyperlink r:id="rId82">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3">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4">
        <w:r>
          <w:rPr>
            <w:lang w:val="fr_FR" w:bidi="fr_FR"/>
          </w:rPr>
          <w:rPr>
            <w:color w:val="0000EE"/>
            <w:u w:val="single"/>
          </w:rPr>
          <w:t>Nb 19.11–13</w:t>
        </w:r>
      </w:hyperlink>
      <w:r>
        <w:rPr>
          <w:lang w:val="fr_FR" w:bidi="fr_FR"/>
        </w:rPr>
        <w:t xml:space="preserve">, </w:t>
      </w:r>
      <w:hyperlink r:id="rId85">
        <w:r>
          <w:rPr>
            <w:lang w:val="fr_FR" w:bidi="fr_FR"/>
          </w:rPr>
          <w:rPr>
            <w:color w:val="0000EE"/>
            <w:u w:val="single"/>
          </w:rPr>
          <w:t>22</w:t>
        </w:r>
      </w:hyperlink>
      <w:r>
        <w:rPr>
          <w:lang w:val="fr_FR" w:bidi="fr_FR"/>
        </w:rPr>
        <w:t xml:space="preserve">). Aggée applique ce principe dans le verset </w:t>
      </w:r>
      <w:hyperlink r:id="rId86">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7">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5">
        <w:r>
          <w:rPr>
            <w:lang w:val="fr_FR" w:bidi="fr_FR"/>
          </w:rPr>
          <w:rPr>
            <w:color w:val="0000EE"/>
            <w:u w:val="single"/>
          </w:rPr>
          <w:t>Ag 1.7</w:t>
        </w:r>
      </w:hyperlink>
      <w:r>
        <w:rPr>
          <w:lang w:val="fr_FR" w:bidi="fr_FR"/>
        </w:rPr>
        <w:t xml:space="preserve">, </w:t>
      </w:r>
      <w:hyperlink r:id="rId8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89">
        <w:r>
          <w:rPr>
            <w:lang w:val="fr_FR" w:bidi="fr_FR"/>
          </w:rPr>
          <w:rPr>
            <w:color w:val="0000EE"/>
            <w:u w:val="single"/>
          </w:rPr>
          <w:t>Dt 31.27</w:t>
        </w:r>
      </w:hyperlink>
      <w:r>
        <w:rPr>
          <w:lang w:val="fr_FR" w:bidi="fr_FR"/>
        </w:rPr>
        <w:t>) jusqu’à l’époque de Jésus (</w:t>
      </w:r>
      <w:hyperlink r:id="rId90">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1">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2">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3">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4">
        <w:r>
          <w:rPr>
            <w:lang w:val="fr_FR" w:bidi="fr_FR"/>
          </w:rPr>
          <w:rPr>
            <w:color w:val="0000EE"/>
            <w:u w:val="single"/>
          </w:rPr>
          <w:t>Jr 23.5</w:t>
        </w:r>
      </w:hyperlink>
      <w:r>
        <w:rPr>
          <w:lang w:val="fr_FR" w:bidi="fr_FR"/>
        </w:rPr>
        <w:t xml:space="preserve"> ; </w:t>
      </w:r>
      <w:hyperlink r:id="rId95">
        <w:r>
          <w:rPr>
            <w:lang w:val="fr_FR" w:bidi="fr_FR"/>
          </w:rPr>
          <w:rPr>
            <w:color w:val="0000EE"/>
            <w:u w:val="single"/>
          </w:rPr>
          <w:t>Ez 37.24</w:t>
        </w:r>
      </w:hyperlink>
      <w:r>
        <w:rPr>
          <w:lang w:val="fr_FR" w:bidi="fr_FR"/>
        </w:rPr>
        <w:t>). Dieu avait maudit le descendant de David, le roi Jojakim, au moment de l’Exil (</w:t>
      </w:r>
      <w:hyperlink r:id="rId96">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7">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98">
        <w:r>
          <w:rPr>
            <w:lang w:val="fr_FR" w:bidi="fr_FR"/>
          </w:rPr>
          <w:rPr>
            <w:color w:val="0000EE"/>
            <w:u w:val="single"/>
          </w:rPr>
          <w:t>1Ch 3.19</w:t>
        </w:r>
      </w:hyperlink>
      <w:r>
        <w:rPr>
          <w:lang w:val="fr_FR" w:bidi="fr_FR"/>
        </w:rPr>
        <w:t>). L’affirmation d’Aggée renverse ainsi la malédiction sur Jojakim (</w:t>
      </w:r>
      <w:hyperlink r:id="rId96">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99">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0">
        <w:r>
          <w:rPr>
            <w:lang w:val="fr_FR" w:bidi="fr_FR"/>
          </w:rPr>
          <w:rPr>
            <w:color w:val="0000EE"/>
            <w:u w:val="single"/>
          </w:rPr>
          <w:t>Mt 1.12</w:t>
        </w:r>
      </w:hyperlink>
      <w:r>
        <w:rPr>
          <w:lang w:val="fr_FR" w:bidi="fr_FR"/>
        </w:rPr>
        <w:t xml:space="preserve"> ; </w:t>
      </w:r>
      <w:hyperlink r:id="rId101">
        <w:r>
          <w:rPr>
            <w:lang w:val="fr_FR" w:bidi="fr_FR"/>
          </w:rPr>
          <w:rPr>
            <w:color w:val="0000EE"/>
            <w:u w:val="single"/>
          </w:rPr>
          <w:t>Lc 1.32–33</w:t>
        </w:r>
      </w:hyperlink>
      <w:r>
        <w:rPr>
          <w:lang w:val="fr_FR" w:bidi="fr_FR"/>
        </w:rPr>
        <w:t xml:space="preserve"> ; </w:t>
      </w:r>
      <w:hyperlink r:id="rId102">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