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3">
        <w:r>
          <w:rPr>
            <w:lang w:val="pt_PT" w:bidi="pt_PT"/>
          </w:rPr>
          <w:rPr>
            <w:color w:val="0000EE"/>
            <w:u w:val="single"/>
          </w:rPr>
          <w:t>Ed 2.1–2</w:t>
        </w:r>
      </w:hyperlink>
      <w:r>
        <w:rPr>
          <w:lang w:val="pt_PT" w:bidi="pt_PT"/>
        </w:rPr>
        <w:t xml:space="preserve">; </w:t>
      </w:r>
      <w:hyperlink r:id="rId14">
        <w:r>
          <w:rPr>
            <w:lang w:val="pt_PT" w:bidi="pt_PT"/>
          </w:rPr>
          <w:rPr>
            <w:color w:val="0000EE"/>
            <w:u w:val="single"/>
          </w:rPr>
          <w:t>3.2</w:t>
        </w:r>
      </w:hyperlink>
      <w:r>
        <w:rPr>
          <w:lang w:val="pt_PT" w:bidi="pt_PT"/>
        </w:rPr>
        <w:t xml:space="preserve">; </w:t>
      </w:r>
      <w:hyperlink r:id="rId15">
        <w:r>
          <w:rPr>
            <w:lang w:val="pt_PT" w:bidi="pt_PT"/>
          </w:rPr>
          <w:rPr>
            <w:color w:val="0000EE"/>
            <w:u w:val="single"/>
          </w:rPr>
          <w:t>Ne 7.7</w:t>
        </w:r>
      </w:hyperlink>
      <w:r>
        <w:rPr>
          <w:lang w:val="pt_PT" w:bidi="pt_PT"/>
        </w:rPr>
        <w:t>). • Jesua era o sumo sacerdote naquela época. Sob sua supervisão, o altar foi reconstruído e o Segundo Templo foi dedicado (</w:t>
      </w:r>
      <w:hyperlink r:id="rId14">
        <w:r>
          <w:rPr>
            <w:lang w:val="pt_PT" w:bidi="pt_PT"/>
          </w:rPr>
          <w:rPr>
            <w:color w:val="0000EE"/>
            <w:u w:val="single"/>
          </w:rPr>
          <w:t>Ed 3.2</w:t>
        </w:r>
      </w:hyperlink>
      <w:r>
        <w:rPr>
          <w:lang w:val="pt_PT" w:bidi="pt_PT"/>
        </w:rPr>
        <w:t xml:space="preserve">; </w:t>
      </w:r>
      <w:hyperlink r:id="rId16">
        <w:r>
          <w:rPr>
            <w:lang w:val="pt_PT" w:bidi="pt_PT"/>
          </w:rPr>
          <w:rPr>
            <w:color w:val="0000EE"/>
            <w:u w:val="single"/>
          </w:rPr>
          <w:t>5.2</w:t>
        </w:r>
      </w:hyperlink>
      <w:r>
        <w:rPr>
          <w:lang w:val="pt_PT" w:bidi="pt_PT"/>
        </w:rPr>
        <w:t xml:space="preserve">; </w:t>
      </w:r>
      <w:hyperlink r:id="rId17">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18">
        <w:r>
          <w:rPr>
            <w:lang w:val="pt_PT" w:bidi="pt_PT"/>
          </w:rPr>
          <w:rPr>
            <w:color w:val="0000EE"/>
            <w:u w:val="single"/>
          </w:rPr>
          <w:t>2Rs 6.17</w:t>
        </w:r>
      </w:hyperlink>
      <w:r>
        <w:rPr>
          <w:lang w:val="pt_PT" w:bidi="pt_PT"/>
        </w:rPr>
        <w:t xml:space="preserve">; </w:t>
      </w:r>
      <w:hyperlink r:id="rId19">
        <w:r>
          <w:rPr>
            <w:lang w:val="pt_PT" w:bidi="pt_PT"/>
          </w:rPr>
          <w:rPr>
            <w:color w:val="0000EE"/>
            <w:u w:val="single"/>
          </w:rPr>
          <w:t>Mt 26.53</w:t>
        </w:r>
      </w:hyperlink>
      <w:r>
        <w:rPr>
          <w:lang w:val="pt_PT" w:bidi="pt_PT"/>
        </w:rPr>
        <w:t>). Esse pensamento tinha a intenção de encorajar os judeus, que se sentiam impotentes e insignificantes. • Ainda não chegou o tempo: As colheitas ruins devido à seca e à peste tinham enfraquecido tanto a economia de Judá (</w:t>
      </w:r>
      <w:hyperlink r:id="rId20">
        <w:r>
          <w:rPr>
            <w:lang w:val="pt_PT" w:bidi="pt_PT"/>
          </w:rPr>
          <w:rPr>
            <w:color w:val="0000EE"/>
            <w:u w:val="single"/>
          </w:rPr>
          <w:t>Ag 1.6</w:t>
        </w:r>
      </w:hyperlink>
      <w:r>
        <w:rPr>
          <w:lang w:val="pt_PT" w:bidi="pt_PT"/>
        </w:rPr>
        <w:t xml:space="preserve">, </w:t>
      </w:r>
      <w:hyperlink r:id="rId21">
        <w:r>
          <w:rPr>
            <w:lang w:val="pt_PT" w:bidi="pt_PT"/>
          </w:rPr>
          <w:rPr>
            <w:color w:val="0000EE"/>
            <w:u w:val="single"/>
          </w:rPr>
          <w:t>9–11</w:t>
        </w:r>
      </w:hyperlink>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hyperlink r:id="rId24">
        <w:r>
          <w:rPr>
            <w:lang w:val="pt_PT" w:bidi="pt_PT"/>
          </w:rPr>
          <w:rPr>
            <w:color w:val="0000EE"/>
            <w:u w:val="single"/>
          </w:rPr>
          <w:t>2.3</w:t>
        </w:r>
      </w:hyperlink>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hyperlink r:id="rId25">
        <w:r>
          <w:rPr>
            <w:lang w:val="pt_PT" w:bidi="pt_PT"/>
          </w:rPr>
          <w:rPr>
            <w:color w:val="0000EE"/>
            <w:u w:val="single"/>
          </w:rPr>
          <w:t>1.7</w:t>
        </w:r>
      </w:hyperlink>
      <w:r>
        <w:rPr>
          <w:lang w:val="pt_PT" w:bidi="pt_PT"/>
        </w:rPr>
        <w:t xml:space="preserve">; </w:t>
      </w:r>
      <w:hyperlink r:id="rId26">
        <w:r>
          <w:rPr>
            <w:lang w:val="pt_PT" w:bidi="pt_PT"/>
          </w:rPr>
          <w:rPr>
            <w:color w:val="0000EE"/>
            <w:u w:val="single"/>
          </w:rPr>
          <w:t>2.15</w:t>
        </w:r>
      </w:hyperlink>
      <w:r>
        <w:rPr>
          <w:lang w:val="pt_PT" w:bidi="pt_PT"/>
        </w:rPr>
        <w:t xml:space="preserve">, </w:t>
      </w:r>
      <w:hyperlink r:id="rId27">
        <w:r>
          <w:rPr>
            <w:lang w:val="pt_PT" w:bidi="pt_PT"/>
          </w:rPr>
          <w:rPr>
            <w:color w:val="0000EE"/>
            <w:u w:val="single"/>
          </w:rPr>
          <w:t>18</w:t>
        </w:r>
      </w:hyperlink>
      <w:r>
        <w:rPr>
          <w:lang w:val="pt_PT" w:bidi="pt_PT"/>
        </w:rPr>
        <w:t xml:space="preserve">) convoca o povo a pensar cuidadosamente e tirar as conclusões adequadas sobre a conexão entre o que está acontecendo com eles (seca e pobreza, </w:t>
      </w:r>
      <w:hyperlink r:id="rId20">
        <w:r>
          <w:rPr>
            <w:lang w:val="pt_PT" w:bidi="pt_PT"/>
          </w:rPr>
          <w:rPr>
            <w:color w:val="0000EE"/>
            <w:u w:val="single"/>
          </w:rPr>
          <w:t>1.6</w:t>
        </w:r>
      </w:hyperlink>
      <w:r>
        <w:rPr>
          <w:lang w:val="pt_PT" w:bidi="pt_PT"/>
        </w:rPr>
        <w:t>) e sua falha em restaurar a adoração adequada ao Senhor (</w:t>
      </w:r>
      <w:hyperlink r:id="rId28">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2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hyperlink r:id="rId30">
        <w:r>
          <w:rPr>
            <w:lang w:val="pt_PT" w:bidi="pt_PT"/>
          </w:rPr>
          <w:rPr>
            <w:color w:val="0000EE"/>
            <w:u w:val="single"/>
          </w:rPr>
          <w:t>1.13</w:t>
        </w:r>
      </w:hyperlink>
      <w:r>
        <w:rPr>
          <w:lang w:val="pt_PT" w:bidi="pt_PT"/>
        </w:rPr>
        <w:t xml:space="preserve">; </w:t>
      </w:r>
      <w:hyperlink r:id="rId31">
        <w:r>
          <w:rPr>
            <w:lang w:val="pt_PT" w:bidi="pt_PT"/>
          </w:rPr>
          <w:rPr>
            <w:color w:val="0000EE"/>
            <w:u w:val="single"/>
          </w:rPr>
          <w:t>2.8</w:t>
        </w:r>
      </w:hyperlink>
      <w:r>
        <w:rPr>
          <w:lang w:val="pt_PT" w:bidi="pt_PT"/>
        </w:rPr>
        <w:t xml:space="preserve">, </w:t>
      </w:r>
      <w:hyperlink r:id="rId32">
        <w:r>
          <w:rPr>
            <w:lang w:val="pt_PT" w:bidi="pt_PT"/>
          </w:rPr>
          <w:rPr>
            <w:color w:val="0000EE"/>
            <w:u w:val="single"/>
          </w:rPr>
          <w:t>17</w:t>
        </w:r>
      </w:hyperlink>
      <w:r>
        <w:rPr>
          <w:lang w:val="pt_PT" w:bidi="pt_PT"/>
        </w:rPr>
        <w:t xml:space="preserve">, </w:t>
      </w:r>
      <w:hyperlink r:id="rId33">
        <w:r>
          <w:rPr>
            <w:lang w:val="pt_PT" w:bidi="pt_PT"/>
          </w:rPr>
          <w:rPr>
            <w:color w:val="0000EE"/>
            <w:u w:val="single"/>
          </w:rPr>
          <w:t>23</w:t>
        </w:r>
      </w:hyperlink>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hyperlink r:id="rId34">
        <w:r>
          <w:rPr>
            <w:lang w:val="pt_PT" w:bidi="pt_PT"/>
          </w:rPr>
          <w:rPr>
            <w:color w:val="0000EE"/>
            <w:u w:val="single"/>
          </w:rPr>
          <w:t>Dt 28.15–68</w:t>
        </w:r>
      </w:hyperlink>
      <w:r>
        <w:rPr>
          <w:lang w:val="pt_PT" w:bidi="pt_PT"/>
        </w:rPr>
        <w:t xml:space="preserve">, especialmente vv. </w:t>
      </w:r>
      <w:hyperlink r:id="rId35">
        <w:r>
          <w:rPr>
            <w:lang w:val="pt_PT" w:bidi="pt_PT"/>
          </w:rPr>
          <w:rPr>
            <w:color w:val="0000EE"/>
            <w:u w:val="single"/>
          </w:rPr>
          <w:t>22–24</w:t>
        </w:r>
      </w:hyperlink>
      <w:r>
        <w:rPr>
          <w:lang w:val="pt_PT" w:bidi="pt_PT"/>
        </w:rPr>
        <w:t xml:space="preserve">, </w:t>
      </w:r>
      <w:hyperlink r:id="rId36">
        <w:r>
          <w:rPr>
            <w:lang w:val="pt_PT" w:bidi="pt_PT"/>
          </w:rPr>
          <w:rPr>
            <w:color w:val="0000EE"/>
            <w:u w:val="single"/>
          </w:rPr>
          <w:t>38–40</w:t>
        </w:r>
      </w:hyperlink>
      <w:r>
        <w:rPr>
          <w:lang w:val="pt_PT" w:bidi="pt_PT"/>
        </w:rPr>
        <w:t>). • Seca (hebraico khoreb) é um trocadilho com "ruínas" (</w:t>
      </w:r>
      <w:hyperlink r:id="rId22">
        <w:r>
          <w:rPr>
            <w:lang w:val="pt_PT" w:bidi="pt_PT"/>
          </w:rPr>
          <w:rPr>
            <w:color w:val="0000EE"/>
            <w:u w:val="single"/>
          </w:rPr>
          <w:t>Ag 1.4</w:t>
        </w:r>
      </w:hyperlink>
      <w:r>
        <w:rPr>
          <w:lang w:val="pt_PT" w:bidi="pt_PT"/>
        </w:rPr>
        <w:t xml:space="preserve">, </w:t>
      </w:r>
      <w:hyperlink r:id="rId37">
        <w:r>
          <w:rPr>
            <w:lang w:val="pt_PT" w:bidi="pt_PT"/>
          </w:rPr>
          <w:rPr>
            <w:color w:val="0000EE"/>
            <w:u w:val="single"/>
          </w:rPr>
          <w:t>9</w:t>
        </w:r>
      </w:hyperlink>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hyperlink r:id="rId38">
        <w:r>
          <w:rPr>
            <w:lang w:val="pt_PT" w:bidi="pt_PT"/>
          </w:rPr>
          <w:rPr>
            <w:color w:val="0000EE"/>
            <w:u w:val="single"/>
          </w:rPr>
          <w:t>2.4–5</w:t>
        </w:r>
      </w:hyperlink>
      <w:r>
        <w:rPr>
          <w:lang w:val="pt_PT" w:bidi="pt_PT"/>
        </w:rPr>
        <w:t xml:space="preserve">; veja </w:t>
      </w:r>
      <w:hyperlink r:id="rId39">
        <w:r>
          <w:rPr>
            <w:lang w:val="pt_PT" w:bidi="pt_PT"/>
          </w:rPr>
          <w:rPr>
            <w:color w:val="0000EE"/>
            <w:u w:val="single"/>
          </w:rPr>
          <w:t>Gn 26.3</w:t>
        </w:r>
      </w:hyperlink>
      <w:r>
        <w:rPr>
          <w:lang w:val="pt_PT" w:bidi="pt_PT"/>
        </w:rPr>
        <w:t xml:space="preserve">; </w:t>
      </w:r>
      <w:hyperlink r:id="rId40">
        <w:r>
          <w:rPr>
            <w:lang w:val="pt_PT" w:bidi="pt_PT"/>
          </w:rPr>
          <w:rPr>
            <w:color w:val="0000EE"/>
            <w:u w:val="single"/>
          </w:rPr>
          <w:t>Êx 3.12</w:t>
        </w:r>
      </w:hyperlink>
      <w:r>
        <w:rPr>
          <w:lang w:val="pt_PT" w:bidi="pt_PT"/>
        </w:rPr>
        <w:t xml:space="preserve">; </w:t>
      </w:r>
      <w:hyperlink r:id="rId41">
        <w:r>
          <w:rPr>
            <w:lang w:val="pt_PT" w:bidi="pt_PT"/>
          </w:rPr>
          <w:rPr>
            <w:color w:val="0000EE"/>
            <w:u w:val="single"/>
          </w:rPr>
          <w:t>Is 41.10</w:t>
        </w:r>
      </w:hyperlink>
      <w:r>
        <w:rPr>
          <w:lang w:val="pt_PT" w:bidi="pt_PT"/>
        </w:rPr>
        <w:t xml:space="preserve">; </w:t>
      </w:r>
      <w:hyperlink r:id="rId42">
        <w:r>
          <w:rPr>
            <w:lang w:val="pt_PT" w:bidi="pt_PT"/>
          </w:rPr>
          <w:rPr>
            <w:color w:val="0000EE"/>
            <w:u w:val="single"/>
          </w:rPr>
          <w:t>43.5</w:t>
        </w:r>
      </w:hyperlink>
      <w:r>
        <w:rPr>
          <w:lang w:val="pt_PT" w:bidi="pt_PT"/>
        </w:rPr>
        <w:t xml:space="preserve">; </w:t>
      </w:r>
      <w:hyperlink r:id="rId43">
        <w:r>
          <w:rPr>
            <w:lang w:val="pt_PT" w:bidi="pt_PT"/>
          </w:rPr>
          <w:rPr>
            <w:color w:val="0000EE"/>
            <w:u w:val="single"/>
          </w:rPr>
          <w:t>Jr 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hyperlink r:id="rId44">
        <w:r>
          <w:rPr>
            <w:lang w:val="pt_PT" w:bidi="pt_PT"/>
          </w:rPr>
          <w:rPr>
            <w:color w:val="0000EE"/>
            <w:u w:val="single"/>
          </w:rPr>
          <w:t>Ed 1.1</w:t>
        </w:r>
      </w:hyperlink>
      <w:r>
        <w:rPr>
          <w:lang w:val="pt_PT" w:bidi="pt_PT"/>
        </w:rPr>
        <w:t xml:space="preserve">; </w:t>
      </w:r>
      <w:hyperlink r:id="rId45">
        <w:r>
          <w:rPr>
            <w:lang w:val="pt_PT" w:bidi="pt_PT"/>
          </w:rPr>
          <w:rPr>
            <w:color w:val="0000EE"/>
            <w:u w:val="single"/>
          </w:rPr>
          <w:t>Is 13.17</w:t>
        </w:r>
      </w:hyperlink>
      <w:r>
        <w:rPr>
          <w:lang w:val="pt_PT" w:bidi="pt_PT"/>
        </w:rPr>
        <w:t xml:space="preserve">; </w:t>
      </w:r>
      <w:hyperlink r:id="rId46">
        <w:r>
          <w:rPr>
            <w:lang w:val="pt_PT" w:bidi="pt_PT"/>
          </w:rPr>
          <w:rPr>
            <w:color w:val="0000EE"/>
            <w:u w:val="single"/>
          </w:rPr>
          <w:t>41.25</w:t>
        </w:r>
      </w:hyperlink>
      <w:r>
        <w:rPr>
          <w:lang w:val="pt_PT" w:bidi="pt_PT"/>
        </w:rPr>
        <w:t xml:space="preserve">; </w:t>
      </w:r>
      <w:hyperlink r:id="rId47">
        <w:r>
          <w:rPr>
            <w:lang w:val="pt_PT" w:bidi="pt_PT"/>
          </w:rPr>
          <w:rPr>
            <w:color w:val="0000EE"/>
            <w:u w:val="single"/>
          </w:rPr>
          <w:t>Jr 51.1</w:t>
        </w:r>
      </w:hyperlink>
      <w:r>
        <w:rPr>
          <w:lang w:val="pt_PT" w:bidi="pt_PT"/>
        </w:rPr>
        <w:t>,</w:t>
      </w:r>
      <w:hyperlink r:id="rId48">
        <w:r>
          <w:rPr>
            <w:lang w:val="pt_PT" w:bidi="pt_PT"/>
          </w:rPr>
          <w:rPr>
            <w:color w:val="0000EE"/>
            <w:u w:val="single"/>
          </w:rPr>
          <w:t>11</w:t>
        </w:r>
      </w:hyperlink>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hyperlink r:id="rId49">
        <w:r>
          <w:rPr>
            <w:lang w:val="pt_PT" w:bidi="pt_PT"/>
          </w:rPr>
          <w:rPr>
            <w:color w:val="0000EE"/>
            <w:u w:val="single"/>
          </w:rPr>
          <w:t>Lv 23.34–43</w:t>
        </w:r>
      </w:hyperlink>
      <w:r>
        <w:rPr>
          <w:lang w:val="pt_PT" w:bidi="pt_PT"/>
        </w:rPr>
        <w:t>). Centenas de anos antes, o Templo de Salomão havia sido dedicado durante este festival (</w:t>
      </w:r>
      <w:hyperlink r:id="rId50">
        <w:r>
          <w:rPr>
            <w:lang w:val="pt_PT" w:bidi="pt_PT"/>
          </w:rPr>
          <w:rPr>
            <w:color w:val="0000EE"/>
            <w:u w:val="single"/>
          </w:rPr>
          <w:t>1Rs 8.2</w:t>
        </w:r>
      </w:hyperlink>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hyperlink r:id="rId51">
        <w:r>
          <w:rPr>
            <w:lang w:val="pt_PT" w:bidi="pt_PT"/>
          </w:rPr>
          <w:rPr>
            <w:color w:val="0000EE"/>
            <w:u w:val="single"/>
          </w:rPr>
          <w:t>Is 35</w:t>
        </w:r>
      </w:hyperlink>
      <w:r>
        <w:rPr>
          <w:lang w:val="pt_PT" w:bidi="pt_PT"/>
        </w:rPr>
        <w:t xml:space="preserve">; </w:t>
      </w:r>
      <w:hyperlink r:id="rId52">
        <w:r>
          <w:rPr>
            <w:lang w:val="pt_PT" w:bidi="pt_PT"/>
          </w:rPr>
          <w:rPr>
            <w:color w:val="0000EE"/>
            <w:u w:val="single"/>
          </w:rPr>
          <w:t>40.1–11</w:t>
        </w:r>
      </w:hyperlink>
      <w:r>
        <w:rPr>
          <w:lang w:val="pt_PT" w:bidi="pt_PT"/>
        </w:rPr>
        <w:t xml:space="preserve">; </w:t>
      </w:r>
      <w:hyperlink r:id="rId53">
        <w:r>
          <w:rPr>
            <w:lang w:val="pt_PT" w:bidi="pt_PT"/>
          </w:rPr>
          <w:rPr>
            <w:color w:val="0000EE"/>
            <w:u w:val="single"/>
          </w:rPr>
          <w:t>52.1–12</w:t>
        </w:r>
      </w:hyperlink>
      <w:r>
        <w:rPr>
          <w:lang w:val="pt_PT" w:bidi="pt_PT"/>
        </w:rPr>
        <w:t xml:space="preserve">; </w:t>
      </w:r>
      <w:hyperlink r:id="rId54">
        <w:r>
          <w:rPr>
            <w:lang w:val="pt_PT" w:bidi="pt_PT"/>
          </w:rPr>
          <w:rPr>
            <w:color w:val="0000EE"/>
            <w:u w:val="single"/>
          </w:rPr>
          <w:t>Jr 32.36–44</w:t>
        </w:r>
      </w:hyperlink>
      <w:r>
        <w:rPr>
          <w:lang w:val="pt_PT" w:bidi="pt_PT"/>
        </w:rPr>
        <w:t xml:space="preserve">; </w:t>
      </w:r>
      <w:hyperlink r:id="rId55">
        <w:r>
          <w:rPr>
            <w:lang w:val="pt_PT" w:bidi="pt_PT"/>
          </w:rPr>
          <w:rPr>
            <w:color w:val="0000EE"/>
            <w:u w:val="single"/>
          </w:rPr>
          <w:t>33.6–26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hyperlink r:id="rId56">
        <w:r>
          <w:rPr>
            <w:lang w:val="pt_PT" w:bidi="pt_PT"/>
          </w:rPr>
          <w:rPr>
            <w:color w:val="0000EE"/>
            <w:u w:val="single"/>
          </w:rPr>
          <w:t>1Rs 6.38</w:t>
        </w:r>
      </w:hyperlink>
      <w:r>
        <w:rPr>
          <w:lang w:val="pt_PT" w:bidi="pt_PT"/>
        </w:rPr>
        <w:t>), que algumas das pessoas mais velhas de Judá haviam visto em sua juventude antes de irem para o exílio na Babilônia. Eles choraram quando viram a nova fundação estabelecida (</w:t>
      </w:r>
      <w:hyperlink r:id="rId57">
        <w:r>
          <w:rPr>
            <w:lang w:val="pt_PT" w:bidi="pt_PT"/>
          </w:rPr>
          <w:rPr>
            <w:color w:val="0000EE"/>
            <w:u w:val="single"/>
          </w:rPr>
          <w:t>Ed 3.12–13</w:t>
        </w:r>
      </w:hyperlink>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hyperlink r:id="rId58">
        <w:r>
          <w:rPr>
            <w:lang w:val="pt_PT" w:bidi="pt_PT"/>
          </w:rPr>
          <w:rPr>
            <w:color w:val="0000EE"/>
            <w:u w:val="single"/>
          </w:rPr>
          <w:t>Js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hyperlink r:id="rId59">
        <w:r>
          <w:rPr>
            <w:lang w:val="pt_PT" w:bidi="pt_PT"/>
          </w:rPr>
          <w:rPr>
            <w:color w:val="0000EE"/>
            <w:u w:val="single"/>
          </w:rPr>
          <w:t>Êxodo 29.46</w:t>
        </w:r>
      </w:hyperlink>
      <w:r>
        <w:rPr>
          <w:lang w:val="pt_PT" w:bidi="pt_PT"/>
        </w:rPr>
        <w:t xml:space="preserve">; </w:t>
      </w:r>
      <w:hyperlink r:id="rId60">
        <w:r>
          <w:rPr>
            <w:lang w:val="pt_PT" w:bidi="pt_PT"/>
          </w:rPr>
          <w:rPr>
            <w:color w:val="0000EE"/>
            <w:u w:val="single"/>
          </w:rPr>
          <w:t>Isaías 63.11</w:t>
        </w:r>
      </w:hyperlink>
      <w:r>
        <w:rPr>
          <w:lang w:val="pt_PT" w:bidi="pt_PT"/>
        </w:rPr>
        <w:t xml:space="preserve">; </w:t>
      </w:r>
      <w:hyperlink r:id="rId61">
        <w:r>
          <w:rPr>
            <w:lang w:val="pt_PT" w:bidi="pt_PT"/>
          </w:rPr>
          <w:rPr>
            <w:color w:val="0000EE"/>
            <w:u w:val="single"/>
          </w:rPr>
          <w:t>Ezequiel 36.26–27</w:t>
        </w:r>
      </w:hyperlink>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hyperlink r:id="rId62">
        <w:r>
          <w:rPr>
            <w:lang w:val="pt_PT" w:bidi="pt_PT"/>
          </w:rPr>
          <w:rPr>
            <w:color w:val="0000EE"/>
            <w:u w:val="single"/>
          </w:rPr>
          <w:t>Gn 15.18</w:t>
        </w:r>
      </w:hyperlink>
      <w:r>
        <w:rPr>
          <w:lang w:val="pt_PT" w:bidi="pt_PT"/>
        </w:rPr>
        <w:t xml:space="preserve">; </w:t>
      </w:r>
      <w:hyperlink r:id="rId63">
        <w:r>
          <w:rPr>
            <w:lang w:val="pt_PT" w:bidi="pt_PT"/>
          </w:rPr>
          <w:rPr>
            <w:color w:val="0000EE"/>
            <w:u w:val="single"/>
          </w:rPr>
          <w:t>Êx 34.27</w:t>
        </w:r>
      </w:hyperlink>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4">
        <w:r>
          <w:rPr>
            <w:lang w:val="pt_PT" w:bidi="pt_PT"/>
          </w:rPr>
          <w:rPr>
            <w:color w:val="0000EE"/>
            <w:u w:val="single"/>
          </w:rPr>
          <w:t>Ez 20.33–38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hyperlink r:id="rId65">
        <w:r>
          <w:rPr>
            <w:lang w:val="pt_PT" w:bidi="pt_PT"/>
          </w:rPr>
          <w:rPr>
            <w:color w:val="0000EE"/>
            <w:u w:val="single"/>
          </w:rPr>
          <w:t>Is 2.19–21</w:t>
        </w:r>
      </w:hyperlink>
      <w:r>
        <w:rPr>
          <w:lang w:val="pt_PT" w:bidi="pt_PT"/>
        </w:rPr>
        <w:t xml:space="preserve">; </w:t>
      </w:r>
      <w:hyperlink r:id="rId66">
        <w:r>
          <w:rPr>
            <w:lang w:val="pt_PT" w:bidi="pt_PT"/>
          </w:rPr>
          <w:rPr>
            <w:color w:val="0000EE"/>
            <w:u w:val="single"/>
          </w:rPr>
          <w:t>30.28</w:t>
        </w:r>
      </w:hyperlink>
      <w:r>
        <w:rPr>
          <w:lang w:val="pt_PT" w:bidi="pt_PT"/>
        </w:rPr>
        <w:t>). O abalo anterior foi o julgamento sobre o Egito na época do êxodo (</w:t>
      </w:r>
      <w:hyperlink r:id="rId67">
        <w:r>
          <w:rPr>
            <w:lang w:val="pt_PT" w:bidi="pt_PT"/>
          </w:rPr>
          <w:rPr>
            <w:color w:val="0000EE"/>
            <w:u w:val="single"/>
          </w:rPr>
          <w:t>Ag 2.21–22</w:t>
        </w:r>
      </w:hyperlink>
      <w:r>
        <w:rPr>
          <w:lang w:val="pt_PT" w:bidi="pt_PT"/>
        </w:rPr>
        <w:t xml:space="preserve">; </w:t>
      </w:r>
      <w:hyperlink r:id="rId68">
        <w:r>
          <w:rPr>
            <w:lang w:val="pt_PT" w:bidi="pt_PT"/>
          </w:rPr>
          <w:rPr>
            <w:color w:val="0000EE"/>
            <w:u w:val="single"/>
          </w:rPr>
          <w:t>Êx 14.31</w:t>
        </w:r>
      </w:hyperlink>
      <w:r>
        <w:rPr>
          <w:lang w:val="pt_PT" w:bidi="pt_PT"/>
        </w:rPr>
        <w:t>). O Novo Testamento relaciona em breve ao retorno de Jesus Cristo (</w:t>
      </w:r>
      <w:hyperlink r:id="rId69">
        <w:r>
          <w:rPr>
            <w:lang w:val="pt_PT" w:bidi="pt_PT"/>
          </w:rPr>
          <w:rPr>
            <w:color w:val="0000EE"/>
            <w:u w:val="single"/>
          </w:rPr>
          <w:t>Hb 12.26–27</w:t>
        </w:r>
      </w:hyperlink>
      <w:r>
        <w:rPr>
          <w:lang w:val="pt_PT" w:bidi="pt_PT"/>
        </w:rPr>
        <w:t xml:space="preserve">). Ageu provavelmente viu o julgamento final de Deus prefigurado em eventos que ocorreriam após seu tempo (por exemplo, a queda da Pérsia para a Grécia, a queda da Grécia para Roma; veja </w:t>
      </w:r>
      <w:hyperlink r:id="rId70">
        <w:r>
          <w:rPr>
            <w:lang w:val="pt_PT" w:bidi="pt_PT"/>
          </w:rPr>
          <w:rPr>
            <w:color w:val="0000EE"/>
            <w:u w:val="single"/>
          </w:rPr>
          <w:t>Dn 2.39–45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hyperlink r:id="rId71">
        <w:r>
          <w:rPr>
            <w:lang w:val="pt_PT" w:bidi="pt_PT"/>
          </w:rPr>
          <w:rPr>
            <w:color w:val="0000EE"/>
            <w:u w:val="single"/>
          </w:rPr>
          <w:t>Ml 3.1</w:t>
        </w:r>
      </w:hyperlink>
      <w:r>
        <w:rPr>
          <w:lang w:val="pt_PT" w:bidi="pt_PT"/>
        </w:rPr>
        <w:t>). Jesus foi apresentado no Templo do Senhor como um bebê (</w:t>
      </w:r>
      <w:hyperlink r:id="rId72">
        <w:r>
          <w:rPr>
            <w:lang w:val="pt_PT" w:bidi="pt_PT"/>
          </w:rPr>
          <w:rPr>
            <w:color w:val="0000EE"/>
            <w:u w:val="single"/>
          </w:rPr>
          <w:t>Lc 2.22</w:t>
        </w:r>
      </w:hyperlink>
      <w:r>
        <w:rPr>
          <w:lang w:val="pt_PT" w:bidi="pt_PT"/>
        </w:rPr>
        <w:t>), e ele ensinou lá como adulto (</w:t>
      </w:r>
      <w:hyperlink r:id="rId73">
        <w:r>
          <w:rPr>
            <w:lang w:val="pt_PT" w:bidi="pt_PT"/>
          </w:rPr>
          <w:rPr>
            <w:color w:val="0000EE"/>
            <w:u w:val="single"/>
          </w:rPr>
          <w:t>Lc 19.45–47</w:t>
        </w:r>
      </w:hyperlink>
      <w:r>
        <w:rPr>
          <w:lang w:val="pt_PT" w:bidi="pt_PT"/>
        </w:rPr>
        <w:t>). Jesus, a Palavra humana de Deus, é maior que o Templo (</w:t>
      </w:r>
      <w:hyperlink r:id="rId74">
        <w:r>
          <w:rPr>
            <w:lang w:val="pt_PT" w:bidi="pt_PT"/>
          </w:rPr>
          <w:rPr>
            <w:color w:val="0000EE"/>
            <w:u w:val="single"/>
          </w:rPr>
          <w:t>Mt 12.6</w:t>
        </w:r>
      </w:hyperlink>
      <w:r>
        <w:rPr>
          <w:lang w:val="pt_PT" w:bidi="pt_PT"/>
        </w:rPr>
        <w:t xml:space="preserve">; veja </w:t>
      </w:r>
      <w:hyperlink r:id="rId75">
        <w:r>
          <w:rPr>
            <w:lang w:val="pt_PT" w:bidi="pt_PT"/>
          </w:rPr>
          <w:rPr>
            <w:color w:val="0000EE"/>
            <w:u w:val="single"/>
          </w:rPr>
          <w:t>Jo 2.13–22</w:t>
        </w:r>
      </w:hyperlink>
      <w:r>
        <w:rPr>
          <w:lang w:val="pt_PT" w:bidi="pt_PT"/>
        </w:rPr>
        <w:t xml:space="preserve">). Embora tenha sido reconhecido por apenas alguns, a presença de Jesus no Templo superou em muito a glória no Tabernáculo no tempo de Moisés e no Templo de Salomão (cp. </w:t>
      </w:r>
      <w:hyperlink r:id="rId76">
        <w:r>
          <w:rPr>
            <w:lang w:val="pt_PT" w:bidi="pt_PT"/>
          </w:rPr>
          <w:rPr>
            <w:color w:val="0000EE"/>
            <w:u w:val="single"/>
          </w:rPr>
          <w:t>Lc 2.29–32</w:t>
        </w:r>
      </w:hyperlink>
      <w:r>
        <w:rPr>
          <w:lang w:val="pt_PT" w:bidi="pt_PT"/>
        </w:rPr>
        <w:t>). • paz ao meu povo: A bênção sacerdotal (</w:t>
      </w:r>
      <w:hyperlink r:id="rId77">
        <w:r>
          <w:rPr>
            <w:lang w:val="pt_PT" w:bidi="pt_PT"/>
          </w:rPr>
          <w:rPr>
            <w:color w:val="0000EE"/>
            <w:u w:val="single"/>
          </w:rPr>
          <w:t>Nm 6.24–26</w:t>
        </w:r>
      </w:hyperlink>
      <w:r>
        <w:rPr>
          <w:lang w:val="pt_PT" w:bidi="pt_PT"/>
        </w:rPr>
        <w:t>) era pronunciada como parte da liturgia do Templo. Nos últimos dias, Deus faria uma aliança de paz com Israel (</w:t>
      </w:r>
      <w:hyperlink r:id="rId78">
        <w:r>
          <w:rPr>
            <w:lang w:val="pt_PT" w:bidi="pt_PT"/>
          </w:rPr>
          <w:rPr>
            <w:color w:val="0000EE"/>
            <w:u w:val="single"/>
          </w:rPr>
          <w:t>Ez 34.25</w:t>
        </w:r>
      </w:hyperlink>
      <w:r>
        <w:rPr>
          <w:lang w:val="pt_PT" w:bidi="pt_PT"/>
        </w:rPr>
        <w:t xml:space="preserve">; </w:t>
      </w:r>
      <w:hyperlink r:id="rId79">
        <w:r>
          <w:rPr>
            <w:lang w:val="pt_PT" w:bidi="pt_PT"/>
          </w:rPr>
          <w:rPr>
            <w:color w:val="0000EE"/>
            <w:u w:val="single"/>
          </w:rPr>
          <w:t>37.26</w:t>
        </w:r>
      </w:hyperlink>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hyperlink r:id="rId80">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hyperlink r:id="rId81">
        <w:r>
          <w:rPr>
            <w:lang w:val="pt_PT" w:bidi="pt_PT"/>
          </w:rPr>
          <w:rPr>
            <w:color w:val="0000EE"/>
            <w:u w:val="single"/>
          </w:rPr>
          <w:t>Dt 33.10</w:t>
        </w:r>
      </w:hyperlink>
      <w:r>
        <w:rPr>
          <w:lang w:val="pt_PT" w:bidi="pt_PT"/>
        </w:rPr>
        <w:t xml:space="preserve">; </w:t>
      </w:r>
      <w:hyperlink r:id="rId82">
        <w:r>
          <w:rPr>
            <w:lang w:val="pt_PT" w:bidi="pt_PT"/>
          </w:rPr>
          <w:rPr>
            <w:color w:val="0000EE"/>
            <w:u w:val="single"/>
          </w:rPr>
          <w:t>Ml 2.7–9</w:t>
        </w:r>
      </w:hyperlink>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hyperlink r:id="rId83">
        <w:r>
          <w:rPr>
            <w:lang w:val="pt_PT" w:bidi="pt_PT"/>
          </w:rPr>
          <w:rPr>
            <w:color w:val="0000EE"/>
            <w:u w:val="single"/>
          </w:rPr>
          <w:t>Lv 6.18</w:t>
        </w:r>
      </w:hyperlink>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4">
        <w:r>
          <w:rPr>
            <w:lang w:val="pt_PT" w:bidi="pt_PT"/>
          </w:rPr>
          <w:rPr>
            <w:color w:val="0000EE"/>
            <w:u w:val="single"/>
          </w:rPr>
          <w:t>Nm 19.11–13</w:t>
        </w:r>
      </w:hyperlink>
      <w:r>
        <w:rPr>
          <w:lang w:val="pt_PT" w:bidi="pt_PT"/>
        </w:rPr>
        <w:t xml:space="preserve">, </w:t>
      </w:r>
      <w:hyperlink r:id="rId85">
        <w:r>
          <w:rPr>
            <w:lang w:val="pt_PT" w:bidi="pt_PT"/>
          </w:rPr>
          <w:rPr>
            <w:color w:val="0000EE"/>
            <w:u w:val="single"/>
          </w:rPr>
          <w:t>22</w:t>
        </w:r>
      </w:hyperlink>
      <w:r>
        <w:rPr>
          <w:lang w:val="pt_PT" w:bidi="pt_PT"/>
        </w:rPr>
        <w:t xml:space="preserve">). Ageu aplica isso em </w:t>
      </w:r>
      <w:hyperlink r:id="rId86">
        <w:r>
          <w:rPr>
            <w:lang w:val="pt_PT" w:bidi="pt_PT"/>
          </w:rPr>
          <w:rPr>
            <w:color w:val="0000EE"/>
            <w:u w:val="single"/>
          </w:rPr>
          <w:t>Ageu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hyperlink r:id="rId87">
        <w:r>
          <w:rPr>
            <w:lang w:val="pt_PT" w:bidi="pt_PT"/>
          </w:rPr>
          <w:rPr>
            <w:color w:val="0000EE"/>
            <w:u w:val="single"/>
          </w:rPr>
          <w:t>Dt 30.6–10</w:t>
        </w:r>
      </w:hyperlink>
      <w:r>
        <w:rPr>
          <w:lang w:val="pt_PT" w:bidi="pt_PT"/>
        </w:rPr>
        <w:t xml:space="preserve">). Ageu chamou o povo a continuar na autoexaminação que leva ao arrependimento e no temor do Senhor que sua primeira mensagem iniciou (veja </w:t>
      </w:r>
      <w:hyperlink r:id="rId25">
        <w:r>
          <w:rPr>
            <w:lang w:val="pt_PT" w:bidi="pt_PT"/>
          </w:rPr>
          <w:rPr>
            <w:color w:val="0000EE"/>
            <w:u w:val="single"/>
          </w:rPr>
          <w:t>Ag 1.7</w:t>
        </w:r>
      </w:hyperlink>
      <w:r>
        <w:rPr>
          <w:lang w:val="pt_PT" w:bidi="pt_PT"/>
        </w:rPr>
        <w:t xml:space="preserve">, </w:t>
      </w:r>
      <w:hyperlink r:id="rId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hyperlink r:id="rId89">
        <w:r>
          <w:rPr>
            <w:lang w:val="pt_PT" w:bidi="pt_PT"/>
          </w:rPr>
          <w:rPr>
            <w:color w:val="0000EE"/>
            <w:u w:val="single"/>
          </w:rPr>
          <w:t>Dt 31.27</w:t>
        </w:r>
      </w:hyperlink>
      <w:r>
        <w:rPr>
          <w:lang w:val="pt_PT" w:bidi="pt_PT"/>
        </w:rPr>
        <w:t>) até o tempo de Jesus (</w:t>
      </w:r>
      <w:hyperlink r:id="rId90">
        <w:r>
          <w:rPr>
            <w:lang w:val="pt_PT" w:bidi="pt_PT"/>
          </w:rPr>
          <w:rPr>
            <w:color w:val="0000EE"/>
            <w:u w:val="single"/>
          </w:rPr>
          <w:t>Mt 17.17</w:t>
        </w:r>
      </w:hyperlink>
      <w:r>
        <w:rPr>
          <w:lang w:val="pt_PT" w:bidi="pt_PT"/>
        </w:rPr>
        <w:t xml:space="preserve">). • com ventos muito quentes, com pragas nas plantas e com chuvas de pedra: O que aconteceu foi resultado da desobediência à aliança de Deus (veja </w:t>
      </w:r>
      <w:hyperlink r:id="rId91">
        <w:r>
          <w:rPr>
            <w:lang w:val="pt_PT" w:bidi="pt_PT"/>
          </w:rPr>
          <w:rPr>
            <w:color w:val="0000EE"/>
            <w:u w:val="single"/>
          </w:rPr>
          <w:t>Dt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hyperlink r:id="rId92">
        <w:r>
          <w:rPr>
            <w:lang w:val="pt_PT" w:bidi="pt_PT"/>
          </w:rPr>
          <w:rPr>
            <w:color w:val="0000EE"/>
            <w:u w:val="single"/>
          </w:rPr>
          <w:t>1.14–15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3">
        <w:r>
          <w:rPr>
            <w:lang w:val="pt_PT" w:bidi="pt_PT"/>
          </w:rPr>
          <w:rPr>
            <w:color w:val="0000EE"/>
            <w:u w:val="single"/>
          </w:rPr>
          <w:t>Sl 111.4–5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4">
        <w:r>
          <w:rPr>
            <w:lang w:val="pt_PT" w:bidi="pt_PT"/>
          </w:rPr>
          <w:rPr>
            <w:color w:val="0000EE"/>
            <w:u w:val="single"/>
          </w:rPr>
          <w:t>Jr 23.5</w:t>
        </w:r>
      </w:hyperlink>
      <w:r>
        <w:rPr>
          <w:lang w:val="pt_PT" w:bidi="pt_PT"/>
        </w:rPr>
        <w:t xml:space="preserve">; </w:t>
      </w:r>
      <w:hyperlink r:id="rId95">
        <w:r>
          <w:rPr>
            <w:lang w:val="pt_PT" w:bidi="pt_PT"/>
          </w:rPr>
          <w:rPr>
            <w:color w:val="0000EE"/>
            <w:u w:val="single"/>
          </w:rPr>
          <w:t>Ez 37.24</w:t>
        </w:r>
      </w:hyperlink>
      <w:r>
        <w:rPr>
          <w:lang w:val="pt_PT" w:bidi="pt_PT"/>
        </w:rPr>
        <w:t>). Deus havia amaldiçoado o descendente de Davi, o Rei Jeoaquim, na época do Exílio (</w:t>
      </w:r>
      <w:hyperlink r:id="rId96">
        <w:r>
          <w:rPr>
            <w:lang w:val="pt_PT" w:bidi="pt_PT"/>
          </w:rPr>
          <w:rPr>
            <w:color w:val="0000EE"/>
            <w:u w:val="single"/>
          </w:rPr>
          <w:t>Jr 22.24–30</w:t>
        </w:r>
      </w:hyperlink>
      <w:r>
        <w:rPr>
          <w:lang w:val="pt_PT" w:bidi="pt_PT"/>
        </w:rPr>
        <w:t xml:space="preserve">), mas a última mensagem de Ageu reverte essa maldição e reinstaura a aliança com Davi (veja </w:t>
      </w:r>
      <w:hyperlink r:id="rId97">
        <w:r>
          <w:rPr>
            <w:lang w:val="pt_PT" w:bidi="pt_PT"/>
          </w:rPr>
          <w:rPr>
            <w:color w:val="0000EE"/>
            <w:u w:val="single"/>
          </w:rPr>
          <w:t>2Sm 7.4–17</w:t>
        </w:r>
      </w:hyperlink>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hyperlink r:id="rId98">
        <w:r>
          <w:rPr>
            <w:lang w:val="pt_PT" w:bidi="pt_PT"/>
          </w:rPr>
          <w:rPr>
            <w:color w:val="0000EE"/>
            <w:u w:val="single"/>
          </w:rPr>
          <w:t>1Cr 3.19</w:t>
        </w:r>
      </w:hyperlink>
      <w:r>
        <w:rPr>
          <w:lang w:val="pt_PT" w:bidi="pt_PT"/>
        </w:rPr>
        <w:t>). A afirmação de Ageu assim anula a maldição sobre Jeoaquim (</w:t>
      </w:r>
      <w:hyperlink r:id="rId96">
        <w:r>
          <w:rPr>
            <w:lang w:val="pt_PT" w:bidi="pt_PT"/>
          </w:rPr>
          <w:rPr>
            <w:color w:val="0000EE"/>
            <w:u w:val="single"/>
          </w:rPr>
          <w:t>Jr 22.24–30</w:t>
        </w:r>
      </w:hyperlink>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hyperlink r:id="rId99">
        <w:r>
          <w:rPr>
            <w:lang w:val="pt_PT" w:bidi="pt_PT"/>
          </w:rPr>
          <w:rPr>
            <w:color w:val="0000EE"/>
            <w:u w:val="single"/>
          </w:rPr>
          <w:t>Êx 15.1–21</w:t>
        </w:r>
      </w:hyperlink>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hyperlink r:id="rId100">
        <w:r>
          <w:rPr>
            <w:lang w:val="pt_PT" w:bidi="pt_PT"/>
          </w:rPr>
          <w:rPr>
            <w:color w:val="0000EE"/>
            <w:u w:val="single"/>
          </w:rPr>
          <w:t>Mt 1.12</w:t>
        </w:r>
      </w:hyperlink>
      <w:r>
        <w:rPr>
          <w:lang w:val="pt_PT" w:bidi="pt_PT"/>
        </w:rPr>
        <w:t xml:space="preserve">; </w:t>
      </w:r>
      <w:hyperlink r:id="rId101">
        <w:r>
          <w:rPr>
            <w:lang w:val="pt_PT" w:bidi="pt_PT"/>
          </w:rPr>
          <w:rPr>
            <w:color w:val="0000EE"/>
            <w:u w:val="single"/>
          </w:rPr>
          <w:t>Lc 1.32–33</w:t>
        </w:r>
      </w:hyperlink>
      <w:r>
        <w:rPr>
          <w:lang w:val="pt_PT" w:bidi="pt_PT"/>
        </w:rPr>
        <w:t xml:space="preserve">; </w:t>
      </w:r>
      <w:hyperlink r:id="rId102">
        <w:r>
          <w:rPr>
            <w:lang w:val="pt_PT" w:bidi="pt_PT"/>
          </w:rPr>
          <w:rPr>
            <w:color w:val="0000EE"/>
            <w:u w:val="single"/>
          </w:rPr>
          <w:t>3.27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