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hyperlink r:id="rId13">
        <w:r>
          <w:rPr>
            <w:lang w:val="es_ES" w:bidi="es_ES"/>
          </w:rPr>
          <w:rPr>
            <w:color w:val="0000EE"/>
            <w:u w:val="single"/>
          </w:rPr>
          <w:t>Jos 14:7,</w:t>
        </w:r>
      </w:hyperlink>
      <w:r>
        <w:rPr>
          <w:lang w:val="es_ES" w:bidi="es_ES"/>
        </w:rPr>
        <w:t xml:space="preserve"> </w:t>
      </w:r>
      <w:hyperlink r:id="rId14">
        <w:r>
          <w:rPr>
            <w:lang w:val="es_ES" w:bidi="es_ES"/>
          </w:rPr>
          <w:rPr>
            <w:color w:val="0000EE"/>
            <w:u w:val="single"/>
          </w:rPr>
          <w:t>2 Re 18:12,</w:t>
        </w:r>
      </w:hyperlink>
      <w:r>
        <w:rPr>
          <w:lang w:val="es_ES" w:bidi="es_ES"/>
        </w:rPr>
        <w:t xml:space="preserve"> </w:t>
      </w:r>
      <w:hyperlink r:id="rId15">
        <w:r>
          <w:rPr>
            <w:lang w:val="es_ES" w:bidi="es_ES"/>
          </w:rPr>
          <w:rPr>
            <w:color w:val="0000EE"/>
            <w:u w:val="single"/>
          </w:rPr>
          <w:t>Ez 34:23</w:t>
        </w:r>
      </w:hyperlink>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hyperlink r:id="rId16">
        <w:r>
          <w:rPr>
            <w:lang w:val="es_ES" w:bidi="es_ES"/>
          </w:rPr>
          <w:rPr>
            <w:color w:val="0000EE"/>
            <w:u w:val="single"/>
          </w:rPr>
          <w:t>1:21</w:t>
        </w:r>
      </w:hyperlink>
      <w:r>
        <w:rPr>
          <w:lang w:val="es_ES" w:bidi="es_ES"/>
        </w:rPr>
        <w:t xml:space="preserve">, </w:t>
      </w:r>
      <w:hyperlink r:id="rId17">
        <w:r>
          <w:rPr>
            <w:lang w:val="es_ES" w:bidi="es_ES"/>
          </w:rPr>
          <w:rPr>
            <w:color w:val="0000EE"/>
            <w:u w:val="single"/>
          </w:rPr>
          <w:t>24</w:t>
        </w:r>
      </w:hyperlink>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hyperlink r:id="rId18">
        <w:r>
          <w:rPr>
            <w:lang w:val="es_ES" w:bidi="es_ES"/>
          </w:rPr>
          <w:rPr>
            <w:color w:val="0000EE"/>
            <w:u w:val="single"/>
          </w:rPr>
          <w:t>Ro 1:8–14,</w:t>
        </w:r>
      </w:hyperlink>
      <w:r>
        <w:rPr>
          <w:lang w:val="es_ES" w:bidi="es_ES"/>
        </w:rPr>
        <w:t xml:space="preserve"> </w:t>
      </w:r>
      <w:hyperlink r:id="rId19">
        <w:r>
          <w:rPr>
            <w:lang w:val="es_ES" w:bidi="es_ES"/>
          </w:rPr>
          <w:rPr>
            <w:color w:val="0000EE"/>
            <w:u w:val="single"/>
          </w:rPr>
          <w:t>1 Co 1:4–9</w:t>
        </w:r>
      </w:hyperlink>
      <w:r>
        <w:rPr>
          <w:lang w:val="es_ES" w:bidi="es_ES"/>
        </w:rPr>
        <w:t xml:space="preserve">). La falsa enseñanza representaba una amenaza seria para la fe de las personas a las que estaba escribiendo (ver </w:t>
      </w:r>
      <w:hyperlink r:id="rId20">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hyperlink r:id="rId21">
        <w:r>
          <w:rPr>
            <w:lang w:val="es_ES" w:bidi="es_ES"/>
          </w:rPr>
          <w:rPr>
            <w:color w:val="0000EE"/>
            <w:u w:val="single"/>
          </w:rPr>
          <w:t>Ro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hyperlink r:id="rId22">
        <w:r>
          <w:rPr>
            <w:lang w:val="es_ES" w:bidi="es_ES"/>
          </w:rPr>
          <w:rPr>
            <w:color w:val="0000EE"/>
            <w:u w:val="single"/>
          </w:rPr>
          <w:t>1 Co 10:4</w:t>
        </w:r>
      </w:hyperlink>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hyperlink r:id="rId23">
        <w:r>
          <w:rPr>
            <w:lang w:val="es_ES" w:bidi="es_ES"/>
          </w:rPr>
          <w:rPr>
            <w:color w:val="0000EE"/>
            <w:u w:val="single"/>
          </w:rPr>
          <w:t>Nm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hyperlink r:id="rId24">
        <w:r>
          <w:rPr>
            <w:lang w:val="es_ES" w:bidi="es_ES"/>
          </w:rPr>
          <w:rPr>
            <w:color w:val="0000EE"/>
            <w:u w:val="single"/>
          </w:rPr>
          <w:t>1:4</w:t>
        </w:r>
      </w:hyperlink>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hyperlink r:id="rId25">
        <w:r>
          <w:rPr>
            <w:lang w:val="es_ES" w:bidi="es_ES"/>
          </w:rPr>
          <w:rPr>
            <w:color w:val="0000EE"/>
            <w:u w:val="single"/>
          </w:rPr>
          <w:t>Gn 6:1–4</w:t>
        </w:r>
      </w:hyperlink>
      <w:r>
        <w:rPr>
          <w:lang w:val="es_ES" w:bidi="es_ES"/>
        </w:rPr>
        <w:t xml:space="preserve">. La tradición judía entendía que los “hijos de Dios” en </w:t>
      </w:r>
      <w:hyperlink r:id="rId26">
        <w:r>
          <w:rPr>
            <w:lang w:val="es_ES" w:bidi="es_ES"/>
          </w:rPr>
          <w:rPr>
            <w:color w:val="0000EE"/>
            <w:u w:val="single"/>
          </w:rPr>
          <w:t>Génesis 6</w:t>
        </w:r>
      </w:hyperlink>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hyperlink r:id="rId27">
        <w:r>
          <w:rPr>
            <w:lang w:val="es_ES" w:bidi="es_ES"/>
          </w:rPr>
          <w:rPr>
            <w:color w:val="0000EE"/>
            <w:u w:val="single"/>
          </w:rPr>
          <w:t>Jd 14–15</w:t>
        </w:r>
      </w:hyperlink>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hyperlink r:id="rId28">
        <w:r>
          <w:rPr>
            <w:lang w:val="es_ES" w:bidi="es_ES"/>
          </w:rPr>
          <w:rPr>
            <w:color w:val="0000EE"/>
            <w:u w:val="single"/>
          </w:rPr>
          <w:t>Génesis 18:17–19:26,</w:t>
        </w:r>
      </w:hyperlink>
      <w:r>
        <w:rPr>
          <w:lang w:val="es_ES" w:bidi="es_ES"/>
        </w:rPr>
        <w:t xml:space="preserve"> </w:t>
      </w:r>
      <w:hyperlink r:id="rId29">
        <w:r>
          <w:rPr>
            <w:lang w:val="es_ES" w:bidi="es_ES"/>
          </w:rPr>
          <w:rPr>
            <w:color w:val="0000EE"/>
            <w:u w:val="single"/>
          </w:rPr>
          <w:t>Lucas 17:26–29</w:t>
        </w:r>
      </w:hyperlink>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hyperlink r:id="rId30">
        <w:r>
          <w:rPr>
            <w:lang w:val="es_ES" w:bidi="es_ES"/>
          </w:rPr>
          <w:rPr>
            <w:color w:val="0000EE"/>
            <w:u w:val="single"/>
          </w:rPr>
          <w:t>Deuteronomio 29:23</w:t>
        </w:r>
      </w:hyperlink>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hyperlink r:id="rId31">
        <w:r>
          <w:rPr>
            <w:lang w:val="es_ES" w:bidi="es_ES"/>
          </w:rPr>
          <w:rPr>
            <w:color w:val="0000EE"/>
            <w:u w:val="single"/>
          </w:rPr>
          <w:t>Génesis 19:5–10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2">
        <w:r>
          <w:rPr>
            <w:lang w:val="es_ES" w:bidi="es_ES"/>
          </w:rPr>
          <w:rPr>
            <w:color w:val="0000EE"/>
            <w:u w:val="single"/>
          </w:rPr>
          <w:t>1:18,</w:t>
        </w:r>
      </w:hyperlink>
      <w:r>
        <w:rPr>
          <w:lang w:val="es_ES" w:bidi="es_ES"/>
        </w:rPr>
        <w:t xml:space="preserve"> </w:t>
      </w:r>
      <w:hyperlink r:id="rId33">
        <w:r>
          <w:rPr>
            <w:lang w:val="es_ES" w:bidi="es_ES"/>
          </w:rPr>
          <w:rPr>
            <w:color w:val="0000EE"/>
            <w:u w:val="single"/>
          </w:rPr>
          <w:t>2 Pd 3:3–4</w:t>
        </w:r>
      </w:hyperlink>
      <w:r>
        <w:rPr>
          <w:lang w:val="es_ES" w:bidi="es_ES"/>
        </w:rPr>
        <w:t xml:space="preserve">) o negando el origen glorioso de estos ángeles que se rebelaron contra Dios (comparar </w:t>
      </w:r>
      <w:hyperlink r:id="rId34">
        <w:r>
          <w:rPr>
            <w:lang w:val="es_ES" w:bidi="es_ES"/>
          </w:rPr>
          <w:rPr>
            <w:color w:val="0000EE"/>
            <w:u w:val="single"/>
          </w:rPr>
          <w:t>2 Pe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hyperlink r:id="rId35">
        <w:r>
          <w:rPr>
            <w:lang w:val="es_ES" w:bidi="es_ES"/>
          </w:rPr>
          <w:rPr>
            <w:color w:val="0000EE"/>
            <w:u w:val="single"/>
          </w:rPr>
          <w:t>1 Ts 4:16</w:t>
        </w:r>
      </w:hyperlink>
      <w:r>
        <w:rPr>
          <w:lang w:val="es_ES" w:bidi="es_ES"/>
        </w:rPr>
        <w:t>). Miguel es mencionado varias veces en la Biblia (</w:t>
      </w:r>
      <w:hyperlink r:id="rId36">
        <w:r>
          <w:rPr>
            <w:lang w:val="es_ES" w:bidi="es_ES"/>
          </w:rPr>
          <w:rPr>
            <w:color w:val="0000EE"/>
            <w:u w:val="single"/>
          </w:rPr>
          <w:t>Dn 10:13</w:t>
        </w:r>
      </w:hyperlink>
      <w:r>
        <w:rPr>
          <w:lang w:val="es_ES" w:bidi="es_ES"/>
        </w:rPr>
        <w:t xml:space="preserve">, </w:t>
      </w:r>
      <w:hyperlink r:id="rId37">
        <w:r>
          <w:rPr>
            <w:lang w:val="es_ES" w:bidi="es_ES"/>
          </w:rPr>
          <w:rPr>
            <w:color w:val="0000EE"/>
            <w:u w:val="single"/>
          </w:rPr>
          <w:t>21;</w:t>
        </w:r>
      </w:hyperlink>
      <w:r>
        <w:rPr>
          <w:lang w:val="es_ES" w:bidi="es_ES"/>
        </w:rPr>
        <w:t xml:space="preserve"> </w:t>
      </w:r>
      <w:hyperlink r:id="rId38">
        <w:r>
          <w:rPr>
            <w:lang w:val="es_ES" w:bidi="es_ES"/>
          </w:rPr>
          <w:rPr>
            <w:color w:val="0000EE"/>
            <w:u w:val="single"/>
          </w:rPr>
          <w:t>12:1,</w:t>
        </w:r>
      </w:hyperlink>
      <w:r>
        <w:rPr>
          <w:lang w:val="es_ES" w:bidi="es_ES"/>
        </w:rPr>
        <w:t xml:space="preserve"> </w:t>
      </w:r>
      <w:hyperlink r:id="rId39">
        <w:r>
          <w:rPr>
            <w:lang w:val="es_ES" w:bidi="es_ES"/>
          </w:rPr>
          <w:rPr>
            <w:color w:val="0000EE"/>
            <w:u w:val="single"/>
          </w:rPr>
          <w:t>Ap 12:7</w:t>
        </w:r>
      </w:hyperlink>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hyperlink r:id="rId40">
        <w:r>
          <w:rPr>
            <w:lang w:val="es_ES" w:bidi="es_ES"/>
          </w:rPr>
          <w:rPr>
            <w:color w:val="0000EE"/>
            <w:u w:val="single"/>
          </w:rPr>
          <w:t>Gn 4:1–16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hyperlink r:id="rId41">
        <w:r>
          <w:rPr>
            <w:lang w:val="es_ES" w:bidi="es_ES"/>
          </w:rPr>
          <w:rPr>
            <w:color w:val="0000EE"/>
            <w:u w:val="single"/>
          </w:rPr>
          <w:t>Nm 16:1–35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hyperlink r:id="rId42">
        <w:r>
          <w:rPr>
            <w:lang w:val="es_ES" w:bidi="es_ES"/>
          </w:rPr>
          <w:rPr>
            <w:color w:val="0000EE"/>
            <w:u w:val="single"/>
          </w:rPr>
          <w:t>Gn 5:18–24,</w:t>
        </w:r>
      </w:hyperlink>
      <w:r>
        <w:rPr>
          <w:lang w:val="es_ES" w:bidi="es_ES"/>
        </w:rPr>
        <w:t xml:space="preserve"> </w:t>
      </w:r>
      <w:hyperlink r:id="rId43">
        <w:r>
          <w:rPr>
            <w:lang w:val="es_ES" w:bidi="es_ES"/>
          </w:rPr>
          <w:rPr>
            <w:color w:val="0000EE"/>
            <w:u w:val="single"/>
          </w:rPr>
          <w:t>1 Cro 1:3</w:t>
        </w:r>
      </w:hyperlink>
      <w:r>
        <w:rPr>
          <w:lang w:val="es_ES" w:bidi="es_ES"/>
        </w:rPr>
        <w:t xml:space="preserve">). </w:t>
      </w:r>
      <w:hyperlink r:id="rId44">
        <w:r>
          <w:rPr>
            <w:lang w:val="es_ES" w:bidi="es_ES"/>
          </w:rPr>
          <w:rPr>
            <w:color w:val="0000EE"/>
            <w:u w:val="single"/>
          </w:rPr>
          <w:t>Génesis 5:24</w:t>
        </w:r>
      </w:hyperlink>
      <w:r>
        <w:rPr>
          <w:lang w:val="es_ES" w:bidi="es_ES"/>
        </w:rPr>
        <w:t xml:space="preserve"> sugiere que Enoc no murió, sino que fue llevado directamente al cielo (comparar </w:t>
      </w:r>
      <w:hyperlink r:id="rId45">
        <w:r>
          <w:rPr>
            <w:lang w:val="es_ES" w:bidi="es_ES"/>
          </w:rPr>
          <w:rPr>
            <w:color w:val="0000EE"/>
            <w:u w:val="single"/>
          </w:rPr>
          <w:t>2 Re 2:1–13,</w:t>
        </w:r>
      </w:hyperlink>
      <w:r>
        <w:rPr>
          <w:lang w:val="es_ES" w:bidi="es_ES"/>
        </w:rPr>
        <w:t xml:space="preserve"> ver </w:t>
      </w:r>
      <w:hyperlink r:id="rId46">
        <w:r>
          <w:rPr>
            <w:lang w:val="es_ES" w:bidi="es_ES"/>
          </w:rPr>
          <w:rPr>
            <w:color w:val="0000EE"/>
            <w:u w:val="single"/>
          </w:rPr>
          <w:t>Hb 11:5</w:t>
        </w:r>
      </w:hyperlink>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hyperlink r:id="rId47">
        <w:r>
          <w:rPr>
            <w:lang w:val="es_ES" w:bidi="es_ES"/>
          </w:rPr>
          <w:rPr>
            <w:color w:val="0000EE"/>
            <w:u w:val="single"/>
          </w:rPr>
          <w:t>Hechos 20:29–30</w:t>
        </w:r>
      </w:hyperlink>
      <w:r>
        <w:rPr>
          <w:lang w:val="es_ES" w:bidi="es_ES"/>
        </w:rPr>
        <w:t xml:space="preserve">, </w:t>
      </w:r>
      <w:hyperlink r:id="rId48">
        <w:r>
          <w:rPr>
            <w:lang w:val="es_ES" w:bidi="es_ES"/>
          </w:rPr>
          <w:rPr>
            <w:color w:val="0000EE"/>
            <w:u w:val="single"/>
          </w:rPr>
          <w:t>1 Timoteo 4:1–3</w:t>
        </w:r>
      </w:hyperlink>
      <w:r>
        <w:rPr>
          <w:lang w:val="es_ES" w:bidi="es_ES"/>
        </w:rPr>
        <w:t xml:space="preserve"> y </w:t>
      </w:r>
      <w:hyperlink r:id="rId49">
        <w:r>
          <w:rPr>
            <w:lang w:val="es_ES" w:bidi="es_ES"/>
          </w:rPr>
          <w:rPr>
            <w:color w:val="0000EE"/>
            <w:u w:val="single"/>
          </w:rPr>
          <w:t>2 Timoteo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hyperlink r:id="rId50">
        <w:r>
          <w:rPr>
            <w:lang w:val="es_ES" w:bidi="es_ES"/>
          </w:rPr>
          <w:rPr>
            <w:color w:val="0000EE"/>
            <w:u w:val="single"/>
          </w:rPr>
          <w:t>1:3–4</w:t>
        </w:r>
      </w:hyperlink>
      <w:r>
        <w:rPr>
          <w:lang w:val="es_ES" w:bidi="es_ES"/>
        </w:rPr>
        <w:t>). Los apóstoles les habían advertido sobre las falsas enseñanzas (</w:t>
      </w:r>
      <w:hyperlink r:id="rId51">
        <w:r>
          <w:rPr>
            <w:lang w:val="es_ES" w:bidi="es_ES"/>
          </w:rPr>
          <w:rPr>
            <w:color w:val="0000EE"/>
            <w:u w:val="single"/>
          </w:rPr>
          <w:t>1:17–19</w:t>
        </w:r>
      </w:hyperlink>
      <w:r>
        <w:rPr>
          <w:lang w:val="es_ES" w:bidi="es_ES"/>
        </w:rPr>
        <w:t>). Deben apoyarse mutuamente en su fe (</w:t>
      </w:r>
      <w:hyperlink r:id="rId52">
        <w:r>
          <w:rPr>
            <w:lang w:val="es_ES" w:bidi="es_ES"/>
          </w:rPr>
          <w:rPr>
            <w:color w:val="0000EE"/>
            <w:u w:val="single"/>
          </w:rPr>
          <w:t>1:20–21</w:t>
        </w:r>
      </w:hyperlink>
      <w:r>
        <w:rPr>
          <w:lang w:val="es_ES" w:bidi="es_ES"/>
        </w:rPr>
        <w:t>). También deben ayudar a aquellos que podrían ser engañados por los maestros falsos (</w:t>
      </w:r>
      <w:hyperlink r:id="rId20">
        <w:r>
          <w:rPr>
            <w:lang w:val="es_ES" w:bidi="es_ES"/>
          </w:rPr>
          <w:rPr>
            <w:color w:val="0000EE"/>
            <w:u w:val="single"/>
          </w:rPr>
          <w:t>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3">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hyperlink r:id="rId54">
        <w:r>
          <w:rPr>
            <w:lang w:val="es_ES" w:bidi="es_ES"/>
          </w:rPr>
          <w:rPr>
            <w:color w:val="0000EE"/>
            <w:u w:val="single"/>
          </w:rPr>
          <w:t>1:3</w:t>
        </w:r>
      </w:hyperlink>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hyperlink r:id="rId55">
        <w:r>
          <w:rPr>
            <w:lang w:val="es_ES" w:bidi="es_ES"/>
          </w:rPr>
          <w:rPr>
            <w:color w:val="0000EE"/>
            <w:u w:val="single"/>
          </w:rPr>
          <w:t>1:5–7</w:t>
        </w:r>
      </w:hyperlink>
      <w:r>
        <w:rPr>
          <w:lang w:val="es_ES" w:bidi="es_ES"/>
        </w:rPr>
        <w:t xml:space="preserve">, </w:t>
      </w:r>
      <w:hyperlink r:id="rId5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hyperlink r:id="rId57">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hyperlink r:id="rId58">
        <w:r>
          <w:rPr>
            <w:lang w:val="es_ES" w:bidi="es_ES"/>
          </w:rPr>
          <w:rPr>
            <w:color w:val="0000EE"/>
            <w:u w:val="single"/>
          </w:rPr>
          <w:t>Zacarías 3:1–4</w:t>
        </w:r>
      </w:hyperlink>
      <w:r>
        <w:rPr>
          <w:lang w:val="es_ES" w:bidi="es_ES"/>
        </w:rPr>
        <w:t xml:space="preserve">; </w:t>
      </w:r>
      <w:hyperlink r:id="rId59">
        <w:r>
          <w:rPr>
            <w:lang w:val="es_ES" w:bidi="es_ES"/>
          </w:rPr>
          <w:rPr>
            <w:color w:val="0000EE"/>
            <w:u w:val="single"/>
          </w:rPr>
          <w:t>Apocalipsis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