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r>
        <w:rPr>
          <w:lang w:val="zh_TW" w:bidi="zh_TW"/>
        </w:rPr>
        <w:t>賽1:1</w:t>
      </w:r>
      <w:r>
        <w:rPr>
          <w:lang w:val="zh_TW" w:bidi="zh_TW"/>
        </w:rPr>
        <w:t>；</w:t>
      </w:r>
      <w:r>
        <w:rPr>
          <w:lang w:val="zh_TW" w:bidi="zh_TW"/>
        </w:rPr>
        <w:t>鴻1:1</w:t>
      </w:r>
      <w:r>
        <w:rPr>
          <w:lang w:val="zh_TW" w:bidi="zh_TW"/>
        </w:rPr>
        <w:t>）；它也定義了先知所看到或感知到的屬天神聖話語（</w:t>
      </w:r>
      <w:r>
        <w:rPr>
          <w:lang w:val="zh_TW" w:bidi="zh_TW"/>
        </w:rPr>
        <w:t>結12:26–27</w:t>
      </w:r>
      <w:r>
        <w:rPr>
          <w:lang w:val="zh_TW" w:bidi="zh_TW"/>
        </w:rPr>
        <w:t>；</w:t>
      </w:r>
      <w:r>
        <w:rPr>
          <w:lang w:val="zh_TW" w:bidi="zh_TW"/>
        </w:rPr>
        <w:t>但8:1</w:t>
      </w:r>
      <w:r>
        <w:rPr>
          <w:lang w:val="zh_TW" w:bidi="zh_TW"/>
        </w:rPr>
        <w:t>）。如果異象不是來自耶和華，那就是假的（</w:t>
      </w:r>
      <w:r>
        <w:rPr>
          <w:lang w:val="zh_TW" w:bidi="zh_TW"/>
        </w:rPr>
        <w:t>耶14:14</w:t>
      </w:r>
      <w:r>
        <w:rPr>
          <w:lang w:val="zh_TW" w:bidi="zh_TW"/>
        </w:rPr>
        <w:t>，</w:t>
      </w:r>
      <w:r>
        <w:rPr>
          <w:lang w:val="zh_TW" w:bidi="zh_TW"/>
        </w:rPr>
        <w:t>23:16</w:t>
      </w:r>
      <w:r>
        <w:rPr>
          <w:lang w:val="zh_TW" w:bidi="zh_TW"/>
        </w:rPr>
        <w:t>），最終的證據是它未能應驗（</w:t>
      </w:r>
      <w:r>
        <w:rPr>
          <w:lang w:val="zh_TW" w:bidi="zh_TW"/>
        </w:rPr>
        <w:t>結12:22–24</w:t>
      </w:r>
      <w:r>
        <w:rPr>
          <w:lang w:val="zh_TW" w:bidi="zh_TW"/>
        </w:rPr>
        <w:t>）。相反地，關於近期或遙遠的事件的真實的異象必然會實現（</w:t>
      </w:r>
      <w:r>
        <w:rPr>
          <w:lang w:val="zh_TW" w:bidi="zh_TW"/>
        </w:rPr>
        <w:t>結12:25</w:t>
      </w:r>
      <w:r>
        <w:rPr>
          <w:lang w:val="zh_TW" w:bidi="zh_TW"/>
        </w:rPr>
        <w:t>；</w:t>
      </w:r>
      <w:r>
        <w:rPr>
          <w:lang w:val="zh_TW" w:bidi="zh_TW"/>
        </w:rPr>
        <w:t>哈2:3</w:t>
      </w:r>
      <w:r>
        <w:rPr>
          <w:lang w:val="zh_TW" w:bidi="zh_TW"/>
        </w:rPr>
        <w:t>）。預言性的異象會以各種形式出現（夢、超感官經驗；例，</w:t>
      </w:r>
      <w:r>
        <w:rPr>
          <w:lang w:val="zh_TW" w:bidi="zh_TW"/>
        </w:rPr>
        <w:t>但8:2</w:t>
      </w:r>
      <w:r>
        <w:rPr>
          <w:lang w:val="zh_TW" w:bidi="zh_TW"/>
        </w:rPr>
        <w:t>）。沒有異像是被神拋棄的記號（</w:t>
      </w:r>
      <w:r>
        <w:rPr>
          <w:lang w:val="zh_TW" w:bidi="zh_TW"/>
        </w:rPr>
        <w:t>哀2:9</w:t>
      </w:r>
      <w:r>
        <w:rPr>
          <w:lang w:val="zh_TW" w:bidi="zh_TW"/>
        </w:rPr>
        <w:t>；</w:t>
      </w:r>
      <w:r>
        <w:rPr>
          <w:lang w:val="zh_TW" w:bidi="zh_TW"/>
        </w:rPr>
        <w:t>結7:26</w:t>
      </w:r>
      <w:r>
        <w:rPr>
          <w:lang w:val="zh_TW" w:bidi="zh_TW"/>
        </w:rPr>
        <w:t>；</w:t>
      </w:r>
      <w:r>
        <w:rPr>
          <w:lang w:val="zh_TW" w:bidi="zh_TW"/>
        </w:rPr>
        <w:t>彌3:6</w:t>
      </w:r>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r>
        <w:rPr>
          <w:lang w:val="zh_TW" w:bidi="zh_TW"/>
        </w:rPr>
        <w:t>俄1:15–16</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r>
        <w:rPr>
          <w:lang w:val="zh_TW" w:bidi="zh_TW"/>
        </w:rPr>
        <w:t>1:10–14</w:t>
      </w:r>
      <w:r>
        <w:rPr>
          <w:lang w:val="zh_TW" w:bidi="zh_TW"/>
        </w:rPr>
        <w:t>；</w:t>
      </w:r>
      <w:r>
        <w:rPr>
          <w:lang w:val="zh_TW" w:bidi="zh_TW"/>
        </w:rPr>
        <w:t>耶49:7–22</w:t>
      </w:r>
      <w:r>
        <w:rPr>
          <w:lang w:val="zh_TW" w:bidi="zh_TW"/>
        </w:rPr>
        <w:t>；</w:t>
      </w:r>
      <w:r>
        <w:rPr>
          <w:lang w:val="zh_TW" w:bidi="zh_TW"/>
        </w:rPr>
        <w:t>結25:12–14</w:t>
      </w:r>
      <w:r>
        <w:rPr>
          <w:lang w:val="zh_TW" w:bidi="zh_TW"/>
        </w:rPr>
        <w:t>，</w:t>
      </w:r>
      <w:r>
        <w:rPr>
          <w:lang w:val="zh_TW" w:bidi="zh_TW"/>
        </w:rPr>
        <w:t>36:5</w:t>
      </w:r>
      <w:r>
        <w:rPr>
          <w:lang w:val="zh_TW" w:bidi="zh_TW"/>
        </w:rPr>
        <w:t>）。以東人經常出現在那些反對以色列和耶和華的國家中（</w:t>
      </w:r>
      <w:r>
        <w:rPr>
          <w:lang w:val="zh_TW" w:bidi="zh_TW"/>
        </w:rPr>
        <w:t>賽34</w:t>
      </w:r>
      <w:r>
        <w:rPr>
          <w:lang w:val="zh_TW" w:bidi="zh_TW"/>
        </w:rPr>
        <w:t>；</w:t>
      </w:r>
      <w:r>
        <w:rPr>
          <w:lang w:val="zh_TW" w:bidi="zh_TW"/>
        </w:rPr>
        <w:t>結35–36</w:t>
      </w:r>
      <w:r>
        <w:rPr>
          <w:lang w:val="zh_TW" w:bidi="zh_TW"/>
        </w:rPr>
        <w:t>；</w:t>
      </w:r>
      <w:r>
        <w:rPr>
          <w:lang w:val="zh_TW" w:bidi="zh_TW"/>
        </w:rPr>
        <w:t>摩9:1–15</w:t>
      </w:r>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r>
        <w:rPr>
          <w:lang w:val="zh_TW" w:bidi="zh_TW"/>
        </w:rPr>
        <w:t>結32:29</w:t>
      </w:r>
      <w:r>
        <w:rPr>
          <w:lang w:val="zh_TW" w:bidi="zh_TW"/>
        </w:rPr>
        <w:t>；參</w:t>
      </w:r>
      <w:r>
        <w:rPr>
          <w:lang w:val="zh_TW" w:bidi="zh_TW"/>
        </w:rPr>
        <w:t>創36</w:t>
      </w:r>
      <w:r>
        <w:rPr>
          <w:lang w:val="zh_TW" w:bidi="zh_TW"/>
        </w:rPr>
        <w:t>；</w:t>
      </w:r>
      <w:r>
        <w:rPr>
          <w:lang w:val="zh_TW" w:bidi="zh_TW"/>
        </w:rPr>
        <w:t>代上1:43–54</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r>
        <w:rPr>
          <w:lang w:val="zh_TW" w:bidi="zh_TW"/>
        </w:rPr>
        <w:t>申24:19</w:t>
      </w:r>
      <w:r>
        <w:rPr>
          <w:lang w:val="zh_TW" w:bidi="zh_TW"/>
        </w:rPr>
        <w:t>；參</w:t>
      </w:r>
      <w:r>
        <w:rPr>
          <w:lang w:val="zh_TW" w:bidi="zh_TW"/>
        </w:rPr>
        <w:t>得2章</w:t>
      </w:r>
      <w:r>
        <w:rPr>
          <w:lang w:val="zh_TW" w:bidi="zh_TW"/>
        </w:rPr>
        <w:t>；</w:t>
      </w:r>
      <w:r>
        <w:rPr>
          <w:lang w:val="zh_TW" w:bidi="zh_TW"/>
        </w:rPr>
        <w:t>太12:1</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r>
        <w:rPr>
          <w:lang w:val="zh_TW" w:bidi="zh_TW"/>
        </w:rPr>
        <w:t>1:15–18</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r>
        <w:rPr>
          <w:lang w:val="zh_TW" w:bidi="zh_TW"/>
        </w:rPr>
        <w:t>1:10–14</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r>
        <w:rPr>
          <w:lang w:val="zh_TW" w:bidi="zh_TW"/>
        </w:rPr>
        <w:t>一章8至15節</w:t>
      </w:r>
      <w:r>
        <w:rPr>
          <w:lang w:val="zh_TW" w:bidi="zh_TW"/>
        </w:rPr>
        <w:t>中出現了十二次，通常翻譯為「當」或「在那時」。</w:t>
      </w:r>
      <w:r>
        <w:rPr>
          <w:lang w:val="zh_TW" w:bidi="zh_TW"/>
        </w:rPr>
        <w:t>一章8節</w:t>
      </w:r>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r>
        <w:rPr>
          <w:lang w:val="zh_TW" w:bidi="zh_TW"/>
        </w:rPr>
        <w:t>耶49:7</w:t>
      </w:r>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r>
        <w:rPr>
          <w:lang w:val="zh_TW" w:bidi="zh_TW"/>
        </w:rPr>
        <w:t>一章10節</w:t>
      </w:r>
      <w:r>
        <w:rPr>
          <w:lang w:val="zh_TW" w:bidi="zh_TW"/>
        </w:rPr>
        <w:t>中被闡明（參</w:t>
      </w:r>
      <w:r>
        <w:rPr>
          <w:lang w:val="zh_TW" w:bidi="zh_TW"/>
        </w:rPr>
        <w:t>賽34</w:t>
      </w:r>
      <w:r>
        <w:rPr>
          <w:lang w:val="zh_TW" w:bidi="zh_TW"/>
        </w:rPr>
        <w:t>；</w:t>
      </w:r>
      <w:r>
        <w:rPr>
          <w:lang w:val="zh_TW" w:bidi="zh_TW"/>
        </w:rPr>
        <w:t>耶49:7–22</w:t>
      </w:r>
      <w:r>
        <w:rPr>
          <w:lang w:val="zh_TW" w:bidi="zh_TW"/>
        </w:rPr>
        <w:t>；</w:t>
      </w:r>
      <w:r>
        <w:rPr>
          <w:lang w:val="zh_TW" w:bidi="zh_TW"/>
        </w:rPr>
        <w:t>珥3:19</w:t>
      </w:r>
      <w:r>
        <w:rPr>
          <w:lang w:val="zh_TW" w:bidi="zh_TW"/>
        </w:rPr>
        <w:t>；</w:t>
      </w:r>
      <w:r>
        <w:rPr>
          <w:lang w:val="zh_TW" w:bidi="zh_TW"/>
        </w:rPr>
        <w:t>摩1:11–12</w:t>
      </w:r>
      <w:r>
        <w:rPr>
          <w:lang w:val="zh_TW" w:bidi="zh_TW"/>
        </w:rPr>
        <w:t>），並在</w:t>
      </w:r>
      <w:r>
        <w:rPr>
          <w:lang w:val="zh_TW" w:bidi="zh_TW"/>
        </w:rPr>
        <w:t>俄巴底亞書一章11至14節</w:t>
      </w:r>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r>
        <w:rPr>
          <w:lang w:val="zh_TW" w:bidi="zh_TW"/>
        </w:rPr>
        <w:t>申22:1–4</w:t>
      </w:r>
      <w:r>
        <w:rPr>
          <w:lang w:val="zh_TW" w:bidi="zh_TW"/>
        </w:rPr>
        <w:t>；參</w:t>
      </w:r>
      <w:r>
        <w:rPr>
          <w:lang w:val="zh_TW" w:bidi="zh_TW"/>
        </w:rPr>
        <w:t>太25:41–46</w:t>
      </w:r>
      <w:r>
        <w:rPr>
          <w:lang w:val="zh_TW" w:bidi="zh_TW"/>
        </w:rPr>
        <w:t>），</w:t>
      </w:r>
      <w:r>
        <w:rPr>
          <w:lang w:val="zh_TW" w:bidi="zh_TW"/>
        </w:rPr>
        <w:t>尤其當存在明確的</w:t>
      </w:r>
      <w:r>
        <w:rPr>
          <w:lang w:val="zh_TW" w:bidi="zh_TW"/>
        </w:rPr>
        <w:t>「兄弟盟約」（</w:t>
      </w:r>
      <w:r>
        <w:rPr>
          <w:lang w:val="zh_TW" w:bidi="zh_TW"/>
        </w:rPr>
        <w:t>摩1:9</w:t>
      </w:r>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r>
        <w:rPr>
          <w:lang w:val="zh_TW" w:bidi="zh_TW"/>
        </w:rPr>
        <w:t>民20:14</w:t>
      </w:r>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r>
        <w:rPr>
          <w:lang w:val="zh_TW" w:bidi="zh_TW"/>
        </w:rPr>
        <w:t>摩1:3–2:3</w:t>
      </w:r>
      <w:r>
        <w:rPr>
          <w:lang w:val="zh_TW" w:bidi="zh_TW"/>
        </w:rPr>
        <w:t>中針對以色列鄰國的預言）。以東人對猶大所犯的罪包括與巴比倫人共同掠奪猶大的土地（</w:t>
      </w:r>
      <w:r>
        <w:rPr>
          <w:lang w:val="zh_TW" w:bidi="zh_TW"/>
        </w:rPr>
        <w:t>俄1:13</w:t>
      </w:r>
      <w:r>
        <w:rPr>
          <w:lang w:val="zh_TW" w:bidi="zh_TW"/>
        </w:rPr>
        <w:t>）以及殺害或遣返猶大的被擄者（</w:t>
      </w:r>
      <w:r>
        <w:rPr>
          <w:lang w:val="zh_TW" w:bidi="zh_TW"/>
        </w:rPr>
        <w:t>1:14</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r>
        <w:rPr>
          <w:lang w:val="zh_TW" w:bidi="zh_TW"/>
        </w:rPr>
        <w:t>珥1:15</w:t>
      </w:r>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r>
        <w:rPr>
          <w:lang w:val="zh_TW" w:bidi="zh_TW"/>
        </w:rPr>
        <w:t>耶49:7–22</w:t>
      </w:r>
      <w:r>
        <w:rPr>
          <w:lang w:val="zh_TW" w:bidi="zh_TW"/>
        </w:rPr>
        <w:t>；</w:t>
      </w:r>
      <w:r>
        <w:rPr>
          <w:lang w:val="zh_TW" w:bidi="zh_TW"/>
        </w:rPr>
        <w:t>結32:29</w:t>
      </w:r>
      <w:r>
        <w:rPr>
          <w:lang w:val="zh_TW" w:bidi="zh_TW"/>
        </w:rPr>
        <w:t>；</w:t>
      </w:r>
      <w:r>
        <w:rPr>
          <w:lang w:val="zh_TW" w:bidi="zh_TW"/>
        </w:rPr>
        <w:t>瑪1:2–5</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r>
        <w:rPr>
          <w:lang w:val="zh_TW" w:bidi="zh_TW"/>
        </w:rPr>
        <w:t>耶40:11–12</w:t>
      </w:r>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r>
        <w:rPr>
          <w:lang w:val="zh_TW" w:bidi="zh_TW"/>
        </w:rPr>
        <w:t>創12:1–7</w:t>
      </w:r>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r>
        <w:rPr>
          <w:lang w:val="zh_TW" w:bidi="zh_TW"/>
        </w:rPr>
        <w:t>瑪1:4–5</w:t>
      </w:r>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r>
        <w:rPr>
          <w:lang w:val="zh_TW" w:bidi="zh_TW"/>
        </w:rPr>
        <w:t>以西結書四十七章13至23節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