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w:t>
      </w:r>
      <w:r/>
    </w:p>
    <w:p>
      <w:r/>
      <w:r>
        <w:t xml:space="preserve">Voir </w:t>
      </w:r>
      <w:hyperlink r:id="rId15">
        <w:r>
          <w:rPr>
            <w:color w:val="0000EE"/>
            <w:u w:val="single"/>
          </w:rPr>
          <w:t>2.11–14</w:t>
        </w:r>
      </w:hyperlink>
      <w:r>
        <w:t xml:space="preserve">; </w:t>
      </w:r>
      <w:hyperlink r:id="rId16">
        <w:r>
          <w:rPr>
            <w:color w:val="0000EE"/>
            <w:u w:val="single"/>
          </w:rPr>
          <w:t>1Tm 6.3</w:t>
        </w:r>
      </w:hyperlink>
      <w:r>
        <w:t>.</w:t>
      </w:r>
      <w:r/>
      <w:r/>
    </w:p>
    <w:p>
      <w:r/>
    </w:p>
    <w:p>
      <w:pPr>
        <w:pStyle w:val="Heading2"/>
      </w:pPr>
      <w:r>
        <w:t>Tite 1.1–4</w:t>
      </w:r>
      <w:r/>
    </w:p>
    <w:p>
      <w:r/>
      <w:r>
        <w:t>Dans le prologue de Tite, comme dans celui de 1 Timothée (</w:t>
      </w:r>
      <w:hyperlink r:id="rId17">
        <w:r>
          <w:rPr>
            <w:color w:val="0000EE"/>
            <w:u w:val="single"/>
          </w:rPr>
          <w:t>1Tm 1.1–2</w:t>
        </w:r>
      </w:hyperlink>
      <w:r>
        <w:t>), Paul établit son autorité apostolique envers son délégué.</w:t>
      </w:r>
      <w:r/>
      <w:r/>
    </w:p>
    <w:p>
      <w:r/>
    </w:p>
    <w:p>
      <w:pPr>
        <w:pStyle w:val="Heading2"/>
      </w:pPr>
      <w:r>
        <w:t>Tite 1.2</w:t>
      </w:r>
      <w:r/>
    </w:p>
    <w:p>
      <w:r/>
      <w:r>
        <w:t xml:space="preserve">La confiance qu'ils ont en la vie éternelle permet au peuple de Dieu de vivre dans le présent à la lumière de l'avenir (voir </w:t>
      </w:r>
      <w:hyperlink r:id="rId15">
        <w:r>
          <w:rPr>
            <w:color w:val="0000EE"/>
            <w:u w:val="single"/>
          </w:rPr>
          <w:t>2.11–14</w:t>
        </w:r>
      </w:hyperlink>
      <w:r>
        <w:t xml:space="preserve">; </w:t>
      </w:r>
      <w:hyperlink r:id="rId18">
        <w:r>
          <w:rPr>
            <w:color w:val="0000EE"/>
            <w:u w:val="single"/>
          </w:rPr>
          <w:t>3.7–8</w:t>
        </w:r>
      </w:hyperlink>
      <w:r>
        <w:t xml:space="preserve">). • Le vrai Dieu diffère radicalement des conceptions crétoises populaires (voir </w:t>
      </w:r>
      <w:r>
        <w:t>note d'étude sur 1.12</w:t>
      </w:r>
      <w:r>
        <w:t>). Cette déclaration met également l'accent sur le plan divin du salut. Ce plan demeure inchangé (</w:t>
      </w:r>
      <w:hyperlink r:id="rId19">
        <w:r>
          <w:rPr>
            <w:color w:val="0000EE"/>
            <w:u w:val="single"/>
          </w:rPr>
          <w:t>1.1</w:t>
        </w:r>
      </w:hyperlink>
      <w:r>
        <w:t xml:space="preserve">) : on peut faire confiance à Dieu et croire qu'il tiendra ses promesses (voir </w:t>
      </w:r>
      <w:hyperlink r:id="rId20">
        <w:r>
          <w:rPr>
            <w:color w:val="0000EE"/>
            <w:u w:val="single"/>
          </w:rPr>
          <w:t>Nm 23.19</w:t>
        </w:r>
      </w:hyperlink>
      <w:r>
        <w:t xml:space="preserve">; </w:t>
      </w:r>
      <w:hyperlink r:id="rId21">
        <w:r>
          <w:rPr>
            <w:color w:val="0000EE"/>
            <w:u w:val="single"/>
          </w:rPr>
          <w:t>1S 15.29</w:t>
        </w:r>
      </w:hyperlink>
      <w:r>
        <w:t xml:space="preserve">; </w:t>
      </w:r>
      <w:hyperlink r:id="rId22">
        <w:r>
          <w:rPr>
            <w:color w:val="0000EE"/>
            <w:u w:val="single"/>
          </w:rPr>
          <w:t>Rm 3.3–4</w:t>
        </w:r>
      </w:hyperlink>
      <w:r>
        <w:t>).</w:t>
      </w:r>
      <w:r/>
      <w:r/>
    </w:p>
    <w:p>
      <w:r/>
    </w:p>
    <w:p>
      <w:pPr>
        <w:pStyle w:val="Heading2"/>
      </w:pPr>
      <w:r>
        <w:t>Tite 1.3</w:t>
      </w:r>
      <w:r/>
    </w:p>
    <w:p>
      <w:r/>
      <w:r>
        <w:t xml:space="preserve">L'initiative revient entièrement à Dieu, qui réalise son plan en son temps et selon sa propre volonté (voir </w:t>
      </w:r>
      <w:hyperlink r:id="rId23">
        <w:r>
          <w:rPr>
            <w:color w:val="0000EE"/>
            <w:u w:val="single"/>
          </w:rPr>
          <w:t>3.5</w:t>
        </w:r>
      </w:hyperlink>
      <w:r>
        <w:t xml:space="preserve">; </w:t>
      </w:r>
      <w:hyperlink r:id="rId24">
        <w:r>
          <w:rPr>
            <w:color w:val="0000EE"/>
            <w:u w:val="single"/>
          </w:rPr>
          <w:t>1Tm 2.6</w:t>
        </w:r>
      </w:hyperlink>
      <w:r>
        <w:t xml:space="preserve">; </w:t>
      </w:r>
      <w:hyperlink r:id="rId25">
        <w:r>
          <w:rPr>
            <w:color w:val="0000EE"/>
            <w:u w:val="single"/>
          </w:rPr>
          <w:t>2Tm 1.10</w:t>
        </w:r>
      </w:hyperlink>
      <w:r>
        <w:t xml:space="preserve">). • En </w:t>
      </w:r>
      <w:hyperlink r:id="rId26">
        <w:r>
          <w:rPr>
            <w:color w:val="0000EE"/>
            <w:u w:val="single"/>
          </w:rPr>
          <w:t>Tite 1.4</w:t>
        </w:r>
      </w:hyperlink>
      <w:r>
        <w:t xml:space="preserve">, Jésus est également désigné comme notre sauveur. Jésus est donc identifié à Dieu (voir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Tite 1.4</w:t>
      </w:r>
      <w:r/>
    </w:p>
    <w:p>
      <w:r/>
      <w:r>
        <w:t xml:space="preserve">Tite était le délégué de Paul auprès de l'église en Crète. • La formulation donne une certaine légitimité au délégué (comme dans </w:t>
      </w:r>
      <w:hyperlink r:id="rId31">
        <w:r>
          <w:rPr>
            <w:color w:val="0000EE"/>
            <w:u w:val="single"/>
          </w:rPr>
          <w:t>1Tm 1.2</w:t>
        </w:r>
      </w:hyperlink>
      <w:r>
        <w:t>).</w:t>
      </w:r>
      <w:r/>
      <w:r/>
    </w:p>
    <w:p>
      <w:r/>
    </w:p>
    <w:p>
      <w:pPr>
        <w:pStyle w:val="Heading2"/>
      </w:pPr>
      <w:r>
        <w:t>Tite 1.5</w:t>
      </w:r>
      <w:r/>
    </w:p>
    <w:p>
      <w:r/>
      <w:r>
        <w:t>La Crète est située en Méditerranée, au sud de la mer Égée. C'était un carrefour commercial stratégique, où l'on trouvait de nombreuses influences, et une population juive. Certains Crétois étaient présents à la Pentecôte (</w:t>
      </w:r>
      <w:hyperlink r:id="rId32">
        <w:r>
          <w:rPr>
            <w:color w:val="0000EE"/>
            <w:u w:val="single"/>
          </w:rPr>
          <w:t>Ac 2.11</w:t>
        </w:r>
      </w:hyperlink>
      <w: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
    </w:p>
    <w:p>
      <w:r/>
    </w:p>
    <w:p>
      <w:pPr>
        <w:pStyle w:val="Heading2"/>
      </w:pPr>
      <w:r>
        <w:t>Tite 1.5–9</w:t>
      </w:r>
      <w:r/>
    </w:p>
    <w:p>
      <w:r/>
      <w:r>
        <w:t xml:space="preserve">Tite a été chargé d'établir l'église (cf. </w:t>
      </w:r>
      <w:hyperlink r:id="rId33">
        <w:r>
          <w:rPr>
            <w:color w:val="0000EE"/>
            <w:u w:val="single"/>
          </w:rPr>
          <w:t>1Tm 3.1–13</w:t>
        </w:r>
      </w:hyperlink>
      <w: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4">
        <w:r>
          <w:rPr>
            <w:color w:val="0000EE"/>
            <w:u w:val="single"/>
          </w:rPr>
          <w:t>1Tm 3.4–5</w:t>
        </w:r>
      </w:hyperlink>
      <w:r>
        <w:t>).</w:t>
      </w:r>
      <w:r/>
      <w:r/>
    </w:p>
    <w:p>
      <w:r/>
    </w:p>
    <w:p>
      <w:pPr>
        <w:pStyle w:val="Heading2"/>
      </w:pPr>
      <w:r>
        <w:t>Tite 1.5–16</w:t>
      </w:r>
      <w:r/>
    </w:p>
    <w:p>
      <w:r/>
      <w:r>
        <w:t>Un leadership fort et fidèle était nécessaire dans les églises de Crète pour faire face au danger des faux enseignants (</w:t>
      </w:r>
      <w:hyperlink r:id="rId35">
        <w:r>
          <w:rPr>
            <w:color w:val="0000EE"/>
            <w:u w:val="single"/>
          </w:rPr>
          <w:t>1.10–16</w:t>
        </w:r>
      </w:hyperlink>
      <w:r>
        <w:t xml:space="preserve">). Cette partie de la tâche de Tite rejoint la préoccupation plus large exprimée dans la lettre : façonner une communauté qui témoigne du Christ en incarnant la grâce de Dieu dans sa conduite : voir </w:t>
      </w:r>
      <w:hyperlink r:id="rId36">
        <w:r>
          <w:rPr>
            <w:color w:val="0000EE"/>
            <w:u w:val="single"/>
          </w:rPr>
          <w:t>1Tm 3.1–7</w:t>
        </w:r>
      </w:hyperlink>
      <w:r>
        <w:t>.</w:t>
      </w:r>
      <w:r/>
      <w:r/>
    </w:p>
    <w:p>
      <w:r/>
    </w:p>
    <w:p>
      <w:pPr>
        <w:pStyle w:val="Heading2"/>
      </w:pPr>
      <w:r>
        <w:t>Tite 1.6</w:t>
      </w:r>
      <w:r/>
    </w:p>
    <w:p>
      <w:r/>
      <w:r>
        <w:t xml:space="preserve">Voir </w:t>
      </w:r>
      <w:r>
        <w:t>note d'étude sur 1 Timothée 3.2</w:t>
      </w:r>
      <w:r>
        <w:t>. • Il faut probablement relier cela à la culture crétoise, et ses standards moraux assez bas (</w:t>
      </w:r>
      <w:hyperlink r:id="rId37">
        <w:r>
          <w:rPr>
            <w:color w:val="0000EE"/>
            <w:u w:val="single"/>
          </w:rPr>
          <w:t>Tite 1.12</w:t>
        </w:r>
      </w:hyperlink>
      <w:r>
        <w:t>).</w:t>
      </w:r>
      <w:r/>
      <w:r/>
    </w:p>
    <w:p>
      <w:r/>
    </w:p>
    <w:p>
      <w:pPr>
        <w:pStyle w:val="Heading2"/>
      </w:pPr>
      <w:r>
        <w:t>Tite 1.7</w:t>
      </w:r>
      <w:r/>
    </w:p>
    <w:p>
      <w:r/>
      <w:r>
        <w:t>Un responsable d'église (ou "un surveillant"</w:t>
      </w:r>
      <w:r>
        <w:rPr>
          <w:i/>
        </w:rPr>
        <w:t>,</w:t>
      </w:r>
      <w:r>
        <w:t xml:space="preserve"> ou "un évêque") est un gestionnaire de la maison de Dieu : voir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1Tm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2Tm 2.20–21</w:t>
        </w:r>
      </w:hyperlink>
      <w:r>
        <w:t xml:space="preserve">. • Ces qualités indiquent qu'un ancien ne devrait pas se mêler aux coutumes crétoises (voir </w:t>
      </w:r>
      <w:hyperlink r:id="rId37">
        <w:r>
          <w:rPr>
            <w:color w:val="0000EE"/>
            <w:u w:val="single"/>
          </w:rPr>
          <w:t>Tite 1.12</w:t>
        </w:r>
      </w:hyperlink>
      <w:r>
        <w:t>).</w:t>
      </w:r>
      <w:r/>
      <w:r/>
    </w:p>
    <w:p>
      <w:r/>
    </w:p>
    <w:p>
      <w:pPr>
        <w:pStyle w:val="Heading2"/>
      </w:pPr>
      <w:r>
        <w:t>Tite 1.9</w:t>
      </w:r>
      <w:r/>
    </w:p>
    <w:p>
      <w:r/>
      <w:r>
        <w:t xml:space="preserve">Les anciens avaient un rôle prépondérant d'enseignement au sein de la communauté. Cela était nécessaire pour faire face à la menace immédiate qui planait sur ces communautés (comme à Éphèse ; voir </w:t>
      </w:r>
      <w:hyperlink r:id="rId44">
        <w:r>
          <w:rPr>
            <w:color w:val="0000EE"/>
            <w:u w:val="single"/>
          </w:rPr>
          <w:t>1Tm 3.1</w:t>
        </w:r>
      </w:hyperlink>
      <w:r>
        <w:t xml:space="preserve">). • Ce n'est qu'en croyant fermement à la Bonne Nouvelle qu'un ancien pourrait dispenser un enseignement sain. Les préoccupations spécifiques de Paul sont abordées dans </w:t>
      </w:r>
      <w:hyperlink r:id="rId45">
        <w:r>
          <w:rPr>
            <w:color w:val="0000EE"/>
            <w:u w:val="single"/>
          </w:rPr>
          <w:t>Tite 2.1–3.11</w:t>
        </w:r>
      </w:hyperlink>
      <w:r>
        <w:t xml:space="preserve">, à la lumière des problèmes mentionnés en </w:t>
      </w:r>
      <w:hyperlink r:id="rId35">
        <w:r>
          <w:rPr>
            <w:color w:val="0000EE"/>
            <w:u w:val="single"/>
          </w:rPr>
          <w:t>1.10–16</w:t>
        </w:r>
      </w:hyperlink>
      <w:r>
        <w:t xml:space="preserve"> et </w:t>
      </w:r>
      <w:hyperlink r:id="rId46">
        <w:r>
          <w:rPr>
            <w:color w:val="0000EE"/>
            <w:u w:val="single"/>
          </w:rPr>
          <w:t>3.9–11</w:t>
        </w:r>
      </w:hyperlink>
      <w:r>
        <w:t xml:space="preserve"> (voir aussi </w:t>
      </w:r>
      <w:hyperlink r:id="rId47">
        <w:r>
          <w:rPr>
            <w:color w:val="0000EE"/>
            <w:u w:val="single"/>
          </w:rPr>
          <w:t>1Tm 1.10</w:t>
        </w:r>
      </w:hyperlink>
      <w:r>
        <w:t xml:space="preserve">). • Tite avait un rôle similaire (cf. </w:t>
      </w:r>
      <w:hyperlink r:id="rId48">
        <w:r>
          <w:rPr>
            <w:color w:val="0000EE"/>
            <w:u w:val="single"/>
          </w:rPr>
          <w:t>Ti 1.13</w:t>
        </w:r>
      </w:hyperlink>
      <w:r>
        <w:t xml:space="preserve">; </w:t>
      </w:r>
      <w:hyperlink r:id="rId49">
        <w:r>
          <w:rPr>
            <w:color w:val="0000EE"/>
            <w:u w:val="single"/>
          </w:rPr>
          <w:t>2.15</w:t>
        </w:r>
      </w:hyperlink>
      <w:r>
        <w:t xml:space="preserve">; </w:t>
      </w:r>
      <w:hyperlink r:id="rId50">
        <w:r>
          <w:rPr>
            <w:color w:val="0000EE"/>
            <w:u w:val="single"/>
          </w:rPr>
          <w:t>3.10–11</w:t>
        </w:r>
      </w:hyperlink>
      <w:r>
        <w:t xml:space="preserve">). Les responsables d'une communauté locale reprenaient là où Paul et ses délégués s'étaient arrêtés. • Ceux qui s'y opposent sont décrits en </w:t>
      </w:r>
      <w:hyperlink r:id="rId35">
        <w:r>
          <w:rPr>
            <w:color w:val="0000EE"/>
            <w:u w:val="single"/>
          </w:rPr>
          <w:t>1.10–16</w:t>
        </w:r>
      </w:hyperlink>
      <w:r>
        <w:t>.</w:t>
      </w:r>
      <w:r/>
      <w:r/>
    </w:p>
    <w:p>
      <w:r/>
    </w:p>
    <w:p>
      <w:pPr>
        <w:pStyle w:val="Heading2"/>
      </w:pPr>
      <w:r>
        <w:t>Tite 1.10</w:t>
      </w:r>
      <w:r/>
    </w:p>
    <w:p>
      <w:r/>
      <w:r>
        <w:t xml:space="preserve">Le même mot grec est utilisé pour les enfants dans </w:t>
      </w:r>
      <w:hyperlink r:id="rId51">
        <w:r>
          <w:rPr>
            <w:color w:val="0000EE"/>
            <w:u w:val="single"/>
          </w:rPr>
          <w:t>1.6</w:t>
        </w:r>
      </w:hyperlink>
      <w:r>
        <w:t xml:space="preserve">. • Il est probablement question ici de chrétiens d'origine juive ; la phrase grecque n'indique pas s'ils exigeaient ou non la circoncision des non-juifs. Le caractère judaïque de ce faux enseignement est suggéré en </w:t>
      </w:r>
      <w:hyperlink r:id="rId52">
        <w:r>
          <w:rPr>
            <w:color w:val="0000EE"/>
            <w:u w:val="single"/>
          </w:rPr>
          <w:t>1.14–15</w:t>
        </w:r>
      </w:hyperlink>
      <w:r>
        <w:t xml:space="preserve"> et </w:t>
      </w:r>
      <w:hyperlink r:id="rId53">
        <w:r>
          <w:rPr>
            <w:color w:val="0000EE"/>
            <w:u w:val="single"/>
          </w:rPr>
          <w:t>3.9</w:t>
        </w:r>
      </w:hyperlink>
      <w:r>
        <w:t>.</w:t>
      </w:r>
      <w:r/>
      <w:r/>
    </w:p>
    <w:p>
      <w:r/>
    </w:p>
    <w:p>
      <w:pPr>
        <w:pStyle w:val="Heading2"/>
      </w:pPr>
      <w:r>
        <w:t>Tite 1.10–16</w:t>
      </w:r>
      <w:r/>
    </w:p>
    <w:p>
      <w:r/>
      <w:r>
        <w:t>Au milieu d'une population avec de fortes tendances à la rébellion, Tite doit user de fermeté pour éliminer toute corruption du sein de ces communautés chrétiennes, pour qu'elles soient en bonne santé (</w:t>
      </w:r>
      <w:hyperlink r:id="rId54">
        <w:r>
          <w:rPr>
            <w:color w:val="0000EE"/>
            <w:u w:val="single"/>
          </w:rPr>
          <w:t>1.13–16</w:t>
        </w:r>
      </w:hyperlink>
      <w:r>
        <w:t>).</w:t>
      </w:r>
      <w:r/>
      <w:r/>
    </w:p>
    <w:p>
      <w:r/>
    </w:p>
    <w:p>
      <w:pPr>
        <w:pStyle w:val="Heading2"/>
      </w:pPr>
      <w:r>
        <w:t>Tite 1.11</w:t>
      </w:r>
      <w:r/>
    </w:p>
    <w:p>
      <w:r/>
      <w:r>
        <w:t xml:space="preserve">Cela s'est également produit à Éphèse (cp. </w:t>
      </w:r>
      <w:hyperlink r:id="rId55">
        <w:r>
          <w:rPr>
            <w:color w:val="0000EE"/>
            <w:u w:val="single"/>
          </w:rPr>
          <w:t>1Tm 4.3</w:t>
        </w:r>
      </w:hyperlink>
      <w:r>
        <w:t xml:space="preserve">; </w:t>
      </w:r>
      <w:hyperlink r:id="rId56">
        <w:r>
          <w:rPr>
            <w:color w:val="0000EE"/>
            <w:u w:val="single"/>
          </w:rPr>
          <w:t>2Tm 2.18</w:t>
        </w:r>
      </w:hyperlink>
      <w:r>
        <w:t xml:space="preserve">; </w:t>
      </w:r>
      <w:hyperlink r:id="rId57">
        <w:r>
          <w:rPr>
            <w:color w:val="0000EE"/>
            <w:u w:val="single"/>
          </w:rPr>
          <w:t>3.6</w:t>
        </w:r>
      </w:hyperlink>
      <w:r>
        <w:t>). • Les anciens ne doivent pas être cupides (</w:t>
      </w:r>
      <w:hyperlink r:id="rId58">
        <w:r>
          <w:rPr>
            <w:color w:val="0000EE"/>
            <w:u w:val="single"/>
          </w:rPr>
          <w:t>Ti 1.7</w:t>
        </w:r>
      </w:hyperlink>
      <w:r>
        <w:t xml:space="preserve">; voir aussi </w:t>
      </w:r>
      <w:hyperlink r:id="rId59">
        <w:r>
          <w:rPr>
            <w:color w:val="0000EE"/>
            <w:u w:val="single"/>
          </w:rPr>
          <w:t>1Tm 6.5–10</w:t>
        </w:r>
      </w:hyperlink>
      <w:r>
        <w:t xml:space="preserve">; </w:t>
      </w:r>
      <w:hyperlink r:id="rId60">
        <w:r>
          <w:rPr>
            <w:color w:val="0000EE"/>
            <w:u w:val="single"/>
          </w:rPr>
          <w:t>2Co 2.17</w:t>
        </w:r>
      </w:hyperlink>
      <w:r>
        <w:t xml:space="preserve">; </w:t>
      </w:r>
      <w:hyperlink r:id="rId61">
        <w:r>
          <w:rPr>
            <w:color w:val="0000EE"/>
            <w:u w:val="single"/>
          </w:rPr>
          <w:t>1P 5.2</w:t>
        </w:r>
      </w:hyperlink>
      <w:r>
        <w:t>).</w:t>
      </w:r>
      <w:r/>
      <w:r/>
    </w:p>
    <w:p>
      <w:r/>
    </w:p>
    <w:p>
      <w:pPr>
        <w:pStyle w:val="Heading2"/>
      </w:pPr>
      <w:r>
        <w:t>Tite 1.12</w:t>
      </w:r>
      <w:r/>
    </w:p>
    <w:p>
      <w:r/>
      <w: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8">
        <w:r>
          <w:rPr>
            <w:color w:val="0000EE"/>
            <w:u w:val="single"/>
          </w:rPr>
          <w:t>1.13</w:t>
        </w:r>
      </w:hyperlink>
      <w:r>
        <w:t xml:space="preserve">; voir </w:t>
      </w:r>
      <w:hyperlink r:id="rId62">
        <w:r>
          <w:rPr>
            <w:color w:val="0000EE"/>
            <w:u w:val="single"/>
          </w:rPr>
          <w:t>Ac 17.28</w:t>
        </w:r>
      </w:hyperlink>
      <w:r>
        <w:t>), car le Dieu qui ne ment pas (</w:t>
      </w:r>
      <w:hyperlink r:id="rId63">
        <w:r>
          <w:rPr>
            <w:color w:val="0000EE"/>
            <w:u w:val="single"/>
          </w:rPr>
          <w:t>Tite 1.2</w:t>
        </w:r>
      </w:hyperlink>
      <w: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4">
        <w:r>
          <w:rPr>
            <w:color w:val="0000EE"/>
            <w:u w:val="single"/>
          </w:rPr>
          <w:t>2.12</w:t>
        </w:r>
      </w:hyperlink>
      <w: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5">
        <w:r>
          <w:rPr>
            <w:color w:val="0000EE"/>
            <w:u w:val="single"/>
          </w:rPr>
          <w:t>2.11–14</w:t>
        </w:r>
      </w:hyperlink>
      <w:r>
        <w:t xml:space="preserve">). • Les Crétois étaient connus pour être prêts à tout en échange d'un peu d'argent. Ils étaient célèbres en tant que mercenaires et consommateurs insatiables. Ils ne voyaient apparemment aucune honte dans la cupidité (voir </w:t>
      </w:r>
      <w:hyperlink r:id="rId65">
        <w:r>
          <w:rPr>
            <w:color w:val="0000EE"/>
            <w:u w:val="single"/>
          </w:rPr>
          <w:t>Ph 3.19</w:t>
        </w:r>
      </w:hyperlink>
      <w:r>
        <w:t>). • Paul applique la citation de manière plus directe aux faux enseignants qui sévissaient à ce moment-là, plutôt qu'à la culture crétoise en général ; les faux enseignants perpétuaient cette tradition crétoise d'immoralité basée sur le mensonge.</w:t>
      </w:r>
      <w:r/>
      <w:r/>
    </w:p>
    <w:p>
      <w:r/>
    </w:p>
    <w:p>
      <w:pPr>
        <w:pStyle w:val="Heading2"/>
      </w:pPr>
      <w:r>
        <w:t>Tite 1.13</w:t>
      </w:r>
      <w:r/>
    </w:p>
    <w:p>
      <w:r/>
      <w:r>
        <w:t xml:space="preserve">Voir </w:t>
      </w:r>
      <w:r>
        <w:t>note d'étude sur 1.12</w:t>
      </w:r>
      <w:r>
        <w:t xml:space="preserve">. • La fermeté dans la foi est démontrée dans la capacité à rejeter les faux enseignements (cf. </w:t>
      </w:r>
      <w:hyperlink r:id="rId66">
        <w:r>
          <w:rPr>
            <w:color w:val="0000EE"/>
            <w:u w:val="single"/>
          </w:rPr>
          <w:t>1.9</w:t>
        </w:r>
      </w:hyperlink>
      <w:r>
        <w:t>).</w:t>
      </w:r>
      <w:r/>
      <w:r/>
    </w:p>
    <w:p>
      <w:r/>
    </w:p>
    <w:p>
      <w:pPr>
        <w:pStyle w:val="Heading2"/>
      </w:pPr>
      <w:r>
        <w:t>Tite 1.14</w:t>
      </w:r>
      <w:r/>
    </w:p>
    <w:p>
      <w:r/>
      <w:r>
        <w:t xml:space="preserve">Voir </w:t>
      </w:r>
      <w:hyperlink r:id="rId53">
        <w:r>
          <w:rPr>
            <w:color w:val="0000EE"/>
            <w:u w:val="single"/>
          </w:rPr>
          <w:t>3.9</w:t>
        </w:r>
      </w:hyperlink>
      <w:r>
        <w:t xml:space="preserve">; </w:t>
      </w:r>
      <w:hyperlink r:id="rId40">
        <w:r>
          <w:rPr>
            <w:color w:val="0000EE"/>
            <w:u w:val="single"/>
          </w:rPr>
          <w:t>1Tm 1.4</w:t>
        </w:r>
      </w:hyperlink>
      <w:r>
        <w:t xml:space="preserve">; </w:t>
      </w:r>
      <w:hyperlink r:id="rId67">
        <w:r>
          <w:rPr>
            <w:color w:val="0000EE"/>
            <w:u w:val="single"/>
          </w:rPr>
          <w:t>4.7</w:t>
        </w:r>
      </w:hyperlink>
      <w:r>
        <w:t xml:space="preserve">; </w:t>
      </w:r>
      <w:hyperlink r:id="rId68">
        <w:r>
          <w:rPr>
            <w:color w:val="0000EE"/>
            <w:u w:val="single"/>
          </w:rPr>
          <w:t>2Tm 4.4</w:t>
        </w:r>
      </w:hyperlink>
      <w:r>
        <w:t xml:space="preserve">. • Il s'agissait d'apostasie, et non pas simplement d'incrédulité. Voir </w:t>
      </w:r>
      <w:hyperlink r:id="rId69">
        <w:r>
          <w:rPr>
            <w:color w:val="0000EE"/>
            <w:u w:val="single"/>
          </w:rPr>
          <w:t>1Tm 1.6–7</w:t>
        </w:r>
      </w:hyperlink>
      <w:r>
        <w:t>.</w:t>
      </w:r>
      <w:r/>
      <w:r/>
    </w:p>
    <w:p>
      <w:r/>
    </w:p>
    <w:p>
      <w:pPr>
        <w:pStyle w:val="Heading2"/>
      </w:pPr>
      <w:r>
        <w:t>Tite 1.15</w:t>
      </w:r>
      <w:r/>
    </w:p>
    <w:p>
      <w:r/>
      <w:r>
        <w:t xml:space="preserve">Voir </w:t>
      </w:r>
      <w:hyperlink r:id="rId70">
        <w:r>
          <w:rPr>
            <w:color w:val="0000EE"/>
            <w:u w:val="single"/>
          </w:rPr>
          <w:t>1Tm 4.3–5</w:t>
        </w:r>
      </w:hyperlink>
      <w:r>
        <w:t>.</w:t>
      </w:r>
      <w:r/>
      <w:r/>
    </w:p>
    <w:p>
      <w:r/>
    </w:p>
    <w:p>
      <w:pPr>
        <w:pStyle w:val="Heading2"/>
      </w:pPr>
      <w:r>
        <w:t>Tite 1.15–16</w:t>
      </w:r>
      <w:r/>
    </w:p>
    <w:p>
      <w:r/>
      <w:r>
        <w:t xml:space="preserve">Ces deux versets concernent ceux dont il est question en </w:t>
      </w:r>
      <w:hyperlink r:id="rId71">
        <w:r>
          <w:rPr>
            <w:color w:val="0000EE"/>
            <w:u w:val="single"/>
          </w:rPr>
          <w:t>1.14</w:t>
        </w:r>
      </w:hyperlink>
      <w:r>
        <w:t>, et leurs préceptes, tout en servant de transition vers une section concernant la saine doctrine (</w:t>
      </w:r>
      <w:hyperlink r:id="rId45">
        <w:r>
          <w:rPr>
            <w:color w:val="0000EE"/>
            <w:u w:val="single"/>
          </w:rPr>
          <w:t>2.1–3.11</w:t>
        </w:r>
      </w:hyperlink>
      <w:r>
        <w:t>).</w:t>
      </w:r>
      <w:r/>
      <w:r/>
    </w:p>
    <w:p>
      <w:r/>
    </w:p>
    <w:p>
      <w:pPr>
        <w:pStyle w:val="Heading2"/>
      </w:pPr>
      <w:r>
        <w:t>Tite 1.16</w:t>
      </w:r>
      <w:r/>
    </w:p>
    <w:p>
      <w:r/>
      <w:r>
        <w:t xml:space="preserve">Un enseignement sain et la piété sont toujours liés dans les lettres à Timothée et Tite (voir </w:t>
      </w:r>
      <w:hyperlink r:id="rId72">
        <w:r>
          <w:rPr>
            <w:color w:val="0000EE"/>
            <w:u w:val="single"/>
          </w:rPr>
          <w:t>1Tm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2Tm 3.5</w:t>
        </w:r>
      </w:hyperlink>
      <w:r>
        <w:t xml:space="preserve">, </w:t>
      </w:r>
      <w:hyperlink r:id="rId76">
        <w:r>
          <w:rPr>
            <w:color w:val="0000EE"/>
            <w:u w:val="single"/>
          </w:rPr>
          <w:t>9</w:t>
        </w:r>
      </w:hyperlink>
      <w:r>
        <w:t xml:space="preserve">). De même, la manière impie dont ils vivent est liée à un enseignement faux. • Ceci contraste avec </w:t>
      </w:r>
      <w:hyperlink r:id="rId77">
        <w:r>
          <w:rPr>
            <w:color w:val="0000EE"/>
            <w:u w:val="single"/>
          </w:rPr>
          <w:t>Tite 3.1</w:t>
        </w:r>
      </w:hyperlink>
      <w:r>
        <w:t>.</w:t>
      </w:r>
      <w:r/>
      <w:r/>
    </w:p>
    <w:p>
      <w:r/>
    </w:p>
    <w:p>
      <w:pPr>
        <w:pStyle w:val="Heading2"/>
      </w:pPr>
      <w:r>
        <w:t>Tite 2.1–15</w:t>
      </w:r>
      <w:r/>
    </w:p>
    <w:p>
      <w:r/>
      <w:r>
        <w:t>L'enseignement sain était particulièrement nécessaire en raison des faux enseignants, qui avaient causé des ravages dans des familles entières (</w:t>
      </w:r>
      <w:hyperlink r:id="rId38">
        <w:r>
          <w:rPr>
            <w:color w:val="0000EE"/>
            <w:u w:val="single"/>
          </w:rPr>
          <w:t>1.11</w:t>
        </w:r>
      </w:hyperlink>
      <w:r>
        <w:t xml:space="preserve">). En </w:t>
      </w:r>
      <w:hyperlink r:id="rId78">
        <w:r>
          <w:rPr>
            <w:color w:val="0000EE"/>
            <w:u w:val="single"/>
          </w:rPr>
          <w:t>2.1–10</w:t>
        </w:r>
      </w:hyperlink>
      <w:r>
        <w:t>, Paul s'adresse à différents groupes au sein de la famille de foi, montrant son souci pour le témoignage public de l'église (</w:t>
      </w:r>
      <w:hyperlink r:id="rId79">
        <w:r>
          <w:rPr>
            <w:color w:val="0000EE"/>
            <w:u w:val="single"/>
          </w:rPr>
          <w:t>2.5</w:t>
        </w:r>
      </w:hyperlink>
      <w:r>
        <w:t xml:space="preserve">, </w:t>
      </w:r>
      <w:hyperlink r:id="rId80">
        <w:r>
          <w:rPr>
            <w:color w:val="0000EE"/>
            <w:u w:val="single"/>
          </w:rPr>
          <w:t>8</w:t>
        </w:r>
      </w:hyperlink>
      <w:r>
        <w:t xml:space="preserve">, </w:t>
      </w:r>
      <w:hyperlink r:id="rId27">
        <w:r>
          <w:rPr>
            <w:color w:val="0000EE"/>
            <w:u w:val="single"/>
          </w:rPr>
          <w:t>10</w:t>
        </w:r>
      </w:hyperlink>
      <w:r>
        <w:t xml:space="preserve">; voir aussi </w:t>
      </w:r>
      <w:hyperlink r:id="rId81">
        <w:r>
          <w:rPr>
            <w:color w:val="0000EE"/>
            <w:u w:val="single"/>
          </w:rPr>
          <w:t>1Tm 5.1–6.2</w:t>
        </w:r>
      </w:hyperlink>
      <w:r>
        <w:t>). Ensuite, Paul développe une réflexion sur la venue du Christ (</w:t>
      </w:r>
      <w:hyperlink r:id="rId15">
        <w:r>
          <w:rPr>
            <w:color w:val="0000EE"/>
            <w:u w:val="single"/>
          </w:rPr>
          <w:t>Tite 2.11–14</w:t>
        </w:r>
      </w:hyperlink>
      <w:r>
        <w:t>) avant de donner un ordre direct à Tite (</w:t>
      </w:r>
      <w:hyperlink r:id="rId49">
        <w:r>
          <w:rPr>
            <w:color w:val="0000EE"/>
            <w:u w:val="single"/>
          </w:rPr>
          <w:t>2.15</w:t>
        </w:r>
      </w:hyperlink>
      <w:r>
        <w:t>).</w:t>
      </w:r>
      <w:r/>
      <w:r/>
    </w:p>
    <w:p>
      <w:r/>
    </w:p>
    <w:p>
      <w:pPr>
        <w:pStyle w:val="Heading2"/>
      </w:pPr>
      <w:r>
        <w:t>Tite 2.9–10</w:t>
      </w:r>
      <w:r/>
    </w:p>
    <w:p>
      <w:r/>
      <w:r>
        <w:t xml:space="preserve">Le but de ces commandements est de rendre l'enseignement sur Dieu attrayant (voir </w:t>
      </w:r>
      <w:hyperlink r:id="rId82">
        <w:r>
          <w:rPr>
            <w:color w:val="0000EE"/>
            <w:u w:val="single"/>
          </w:rPr>
          <w:t>1Tm 6.1–2</w:t>
        </w:r>
      </w:hyperlink>
      <w:r>
        <w:t>).</w:t>
      </w:r>
      <w:r/>
      <w:r/>
    </w:p>
    <w:p>
      <w:r/>
    </w:p>
    <w:p>
      <w:pPr>
        <w:pStyle w:val="Heading2"/>
      </w:pPr>
      <w:r>
        <w:t>Tite 2.11</w:t>
      </w:r>
      <w:r/>
    </w:p>
    <w:p>
      <w:r/>
      <w:r>
        <w:t xml:space="preserve">Voir </w:t>
      </w:r>
      <w:r>
        <w:t>note d'étude sur 1Tm 6.14</w:t>
      </w:r>
      <w:r>
        <w:t>. • Paul entend que la grâce de Dieu accomplira pleinement ses desseins parmi les Crétois et que, ce faisant, elle les enrôlera dans l'œuvre salutaire de Dieu qu'est la propagation de l'Évangile (</w:t>
      </w:r>
      <w:hyperlink r:id="rId64">
        <w:r>
          <w:rPr>
            <w:color w:val="0000EE"/>
            <w:u w:val="single"/>
          </w:rPr>
          <w:t>Tite 2.12</w:t>
        </w:r>
      </w:hyperlink>
      <w:r>
        <w:t xml:space="preserve">; voir </w:t>
      </w:r>
      <w:hyperlink r:id="rId83">
        <w:r>
          <w:rPr>
            <w:color w:val="0000EE"/>
            <w:u w:val="single"/>
          </w:rPr>
          <w:t>1Tm 2.1–7</w:t>
        </w:r>
      </w:hyperlink>
      <w:r>
        <w:t xml:space="preserve">; </w:t>
      </w:r>
      <w:hyperlink r:id="rId84">
        <w:r>
          <w:rPr>
            <w:color w:val="0000EE"/>
            <w:u w:val="single"/>
          </w:rPr>
          <w:t>4.10</w:t>
        </w:r>
      </w:hyperlink>
      <w:r>
        <w:t>).</w:t>
      </w:r>
      <w:r/>
      <w:r/>
    </w:p>
    <w:p>
      <w:r/>
    </w:p>
    <w:p>
      <w:pPr>
        <w:pStyle w:val="Heading2"/>
      </w:pPr>
      <w:r>
        <w:t>Tite 2.11–15</w:t>
      </w:r>
      <w:r/>
    </w:p>
    <w:p>
      <w:r/>
      <w:r>
        <w:t xml:space="preserve">Les commandements de </w:t>
      </w:r>
      <w:hyperlink r:id="rId78">
        <w:r>
          <w:rPr>
            <w:color w:val="0000EE"/>
            <w:u w:val="single"/>
          </w:rPr>
          <w:t>2.1–10</w:t>
        </w:r>
      </w:hyperlink>
      <w: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5">
        <w:r>
          <w:rPr>
            <w:color w:val="0000EE"/>
            <w:u w:val="single"/>
          </w:rPr>
          <w:t>3.3–7</w:t>
        </w:r>
      </w:hyperlink>
      <w:r>
        <w:t>).</w:t>
      </w:r>
      <w:r/>
      <w:r/>
    </w:p>
    <w:p>
      <w:r/>
    </w:p>
    <w:p>
      <w:pPr>
        <w:pStyle w:val="Heading2"/>
      </w:pPr>
      <w:r>
        <w:t>Tite 2.12</w:t>
      </w:r>
      <w:r/>
    </w:p>
    <w:p>
      <w:r/>
      <w: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7">
        <w:r>
          <w:rPr>
            <w:color w:val="0000EE"/>
            <w:u w:val="single"/>
          </w:rPr>
          <w:t>1.12</w:t>
        </w:r>
      </w:hyperlink>
      <w:r>
        <w:t xml:space="preserve"> et sont transformées en qualités profondément chrétiennes (voir </w:t>
      </w:r>
      <w:hyperlink r:id="rId28">
        <w:r>
          <w:rPr>
            <w:color w:val="0000EE"/>
            <w:u w:val="single"/>
          </w:rPr>
          <w:t>2.13</w:t>
        </w:r>
      </w:hyperlink>
      <w:r>
        <w:t>). • Paul exhorte les Crétois à incarner ces vertus, afin de démontrer à leurs compatriotes que c'est seulement par la grâce de Dieu en Jésus-Christ qu'une vie vertueuse peut être vécue.</w:t>
      </w:r>
      <w:r/>
      <w:r/>
    </w:p>
    <w:p>
      <w:r/>
    </w:p>
    <w:p>
      <w:pPr>
        <w:pStyle w:val="Heading2"/>
      </w:pPr>
      <w:r>
        <w:t>Tite 2.13</w:t>
      </w:r>
      <w:r/>
    </w:p>
    <w:p>
      <w:r/>
      <w:r>
        <w:t xml:space="preserve">Cela implique à la fois l'espoir et la redevabilité future, qui incitent à se conduire avec piété dans le temps présent. • Il s'agit ici d'un mot grec important dans les lettres à Timothée et Tite (“épiphanie” ou “apparition”; aussi </w:t>
      </w:r>
      <w:hyperlink r:id="rId86">
        <w:r>
          <w:rPr>
            <w:color w:val="0000EE"/>
            <w:u w:val="single"/>
          </w:rPr>
          <w:t>2.11</w:t>
        </w:r>
      </w:hyperlink>
      <w:r>
        <w:t xml:space="preserve">; voir </w:t>
      </w:r>
      <w:r>
        <w:t>note d'étude sur 1Tm 6.14</w:t>
      </w:r>
      <w:r>
        <w:t xml:space="preserve">). • C'est l'un des rares endroits du Nouveau Testament où Jésus-Christ est appelé ouvertement “Dieu” (voir aussi </w:t>
      </w:r>
      <w:hyperlink r:id="rId87">
        <w:r>
          <w:rPr>
            <w:color w:val="0000EE"/>
            <w:u w:val="single"/>
          </w:rPr>
          <w:t>Jn 1.1</w:t>
        </w:r>
      </w:hyperlink>
      <w:r>
        <w:t xml:space="preserve">; </w:t>
      </w:r>
      <w:hyperlink r:id="rId88">
        <w:r>
          <w:rPr>
            <w:color w:val="0000EE"/>
            <w:u w:val="single"/>
          </w:rPr>
          <w:t>20.28</w:t>
        </w:r>
      </w:hyperlink>
      <w:r>
        <w:t xml:space="preserve">; </w:t>
      </w:r>
      <w:hyperlink r:id="rId89">
        <w:r>
          <w:rPr>
            <w:color w:val="0000EE"/>
            <w:u w:val="single"/>
          </w:rPr>
          <w:t>Rm 9.5</w:t>
        </w:r>
      </w:hyperlink>
      <w:r>
        <w:t xml:space="preserve">; </w:t>
      </w:r>
      <w:hyperlink r:id="rId90">
        <w:r>
          <w:rPr>
            <w:color w:val="0000EE"/>
            <w:u w:val="single"/>
          </w:rPr>
          <w:t>Hé 1.8</w:t>
        </w:r>
      </w:hyperlink>
      <w:r>
        <w:t xml:space="preserve">; </w:t>
      </w:r>
      <w:hyperlink r:id="rId91">
        <w:r>
          <w:rPr>
            <w:color w:val="0000EE"/>
            <w:u w:val="single"/>
          </w:rPr>
          <w:t>2Pi 1.1</w:t>
        </w:r>
      </w:hyperlink>
      <w:r>
        <w:t xml:space="preserve">; peut-être </w:t>
      </w:r>
      <w:hyperlink r:id="rId92">
        <w:r>
          <w:rPr>
            <w:color w:val="0000EE"/>
            <w:u w:val="single"/>
          </w:rPr>
          <w:t>Jean 1.18</w:t>
        </w:r>
      </w:hyperlink>
      <w: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t>note d'étude sur Tite 1.12</w:t>
      </w:r>
      <w:r>
        <w:t>). Au moment de cette lettre, les chrétiens insistaient de plus en plus pour que Christ seul, plutôt que les dirigeants et empereurs, soit considéré comme divin.</w:t>
      </w:r>
      <w:r/>
      <w:r/>
    </w:p>
    <w:p>
      <w:r/>
    </w:p>
    <w:p>
      <w:pPr>
        <w:pStyle w:val="Heading2"/>
      </w:pPr>
      <w:r>
        <w:t>Tite 2.14</w:t>
      </w:r>
      <w:r/>
    </w:p>
    <w:p>
      <w:r/>
      <w:r>
        <w:t xml:space="preserve">Le salut engendre un peuple qui a le désir et la capacité d'accomplir les bonnes œuvres décrites en </w:t>
      </w:r>
      <w:hyperlink r:id="rId39">
        <w:r>
          <w:rPr>
            <w:color w:val="0000EE"/>
            <w:u w:val="single"/>
          </w:rPr>
          <w:t>2.2–10</w:t>
        </w:r>
      </w:hyperlink>
      <w:r>
        <w:t xml:space="preserve">. • Voir aussi </w:t>
      </w:r>
      <w:hyperlink r:id="rId24">
        <w:r>
          <w:rPr>
            <w:color w:val="0000EE"/>
            <w:u w:val="single"/>
          </w:rPr>
          <w:t>1Tm 2.6</w:t>
        </w:r>
      </w:hyperlink>
      <w:r>
        <w:t xml:space="preserve">. • Voir </w:t>
      </w:r>
      <w:hyperlink r:id="rId93">
        <w:r>
          <w:rPr>
            <w:color w:val="0000EE"/>
            <w:u w:val="single"/>
          </w:rPr>
          <w:t>Ga 3.22</w:t>
        </w:r>
      </w:hyperlink>
      <w:r>
        <w:t xml:space="preserve">; </w:t>
      </w:r>
      <w:hyperlink r:id="rId94">
        <w:r>
          <w:rPr>
            <w:color w:val="0000EE"/>
            <w:u w:val="single"/>
          </w:rPr>
          <w:t>4.4–5</w:t>
        </w:r>
      </w:hyperlink>
      <w:r>
        <w:t xml:space="preserve">; cf. </w:t>
      </w:r>
      <w:hyperlink r:id="rId95">
        <w:r>
          <w:rPr>
            <w:color w:val="0000EE"/>
            <w:u w:val="single"/>
          </w:rPr>
          <w:t>Ex 6.6–8</w:t>
        </w:r>
      </w:hyperlink>
      <w:r>
        <w:t xml:space="preserve">. • L'expression “son propre peuple” rappelle la désignation d'Israël en tant que nation (voir </w:t>
      </w:r>
      <w:hyperlink r:id="rId96">
        <w:r>
          <w:rPr>
            <w:color w:val="0000EE"/>
            <w:u w:val="single"/>
          </w:rPr>
          <w:t>Ex 19.5</w:t>
        </w:r>
      </w:hyperlink>
      <w:r>
        <w:t xml:space="preserve">; </w:t>
      </w:r>
      <w:hyperlink r:id="rId97">
        <w:r>
          <w:rPr>
            <w:color w:val="0000EE"/>
            <w:u w:val="single"/>
          </w:rPr>
          <w:t>Dt 7.6</w:t>
        </w:r>
      </w:hyperlink>
      <w:r>
        <w:t xml:space="preserve">; </w:t>
      </w:r>
      <w:hyperlink r:id="rId98">
        <w:r>
          <w:rPr>
            <w:color w:val="0000EE"/>
            <w:u w:val="single"/>
          </w:rPr>
          <w:t>14.2</w:t>
        </w:r>
      </w:hyperlink>
      <w:r>
        <w:t xml:space="preserve">). Ceux qui suivent le Christ sont maintenant le peuple de Dieu (sa nation) et l'Esprit les conduit à respecter l'alliance de Dieu. • Voir </w:t>
      </w:r>
      <w:hyperlink r:id="rId99">
        <w:r>
          <w:rPr>
            <w:color w:val="0000EE"/>
            <w:u w:val="single"/>
          </w:rPr>
          <w:t>Ti 1.16</w:t>
        </w:r>
      </w:hyperlink>
      <w:r>
        <w:t xml:space="preserve">; </w:t>
      </w:r>
      <w:hyperlink r:id="rId100">
        <w:r>
          <w:rPr>
            <w:color w:val="0000EE"/>
            <w:u w:val="single"/>
          </w:rPr>
          <w:t>Ep 2.10</w:t>
        </w:r>
      </w:hyperlink>
      <w:r>
        <w:t>.</w:t>
      </w:r>
      <w:r/>
      <w:r/>
    </w:p>
    <w:p>
      <w:r/>
    </w:p>
    <w:p>
      <w:pPr>
        <w:pStyle w:val="Heading2"/>
      </w:pPr>
      <w:r>
        <w:t>Tite 3.1</w:t>
      </w:r>
      <w:r/>
    </w:p>
    <w:p>
      <w:r/>
      <w:r>
        <w:t>Paul est peut-être en train de dire aux croyants de faire une distinction claire entre eux et ceux qui se comportent de manière désordonnée. Si certains provoquent des divisions (</w:t>
      </w:r>
      <w:hyperlink r:id="rId101">
        <w:r>
          <w:rPr>
            <w:color w:val="0000EE"/>
            <w:u w:val="single"/>
          </w:rPr>
          <w:t xml:space="preserve">1.10–15 </w:t>
        </w:r>
      </w:hyperlink>
      <w:r>
        <w:t xml:space="preserve">; </w:t>
      </w:r>
      <w:hyperlink r:id="rId102">
        <w:r>
          <w:rPr>
            <w:color w:val="0000EE"/>
            <w:u w:val="single"/>
          </w:rPr>
          <w:t>3.10</w:t>
        </w:r>
      </w:hyperlink>
      <w:r>
        <w:t xml:space="preserve">), leurs comportements répréhensibles découlent peut-être de leurs doctrines erronées (comme c'est probablement le cas dans </w:t>
      </w:r>
      <w:hyperlink r:id="rId83">
        <w:r>
          <w:rPr>
            <w:color w:val="0000EE"/>
            <w:u w:val="single"/>
          </w:rPr>
          <w:t>1Tm 2.1–7</w:t>
        </w:r>
      </w:hyperlink>
      <w:r>
        <w:t>). • Sur les relations avec le gouvernement</w:t>
      </w:r>
      <w:r>
        <w:rPr>
          <w:i/>
        </w:rPr>
        <w:t>,</w:t>
      </w:r>
      <w:r>
        <w:t xml:space="preserve"> voir </w:t>
      </w:r>
      <w:hyperlink r:id="rId103">
        <w:r>
          <w:rPr>
            <w:color w:val="0000EE"/>
            <w:u w:val="single"/>
          </w:rPr>
          <w:t xml:space="preserve">1 Tm 2.2 </w:t>
        </w:r>
      </w:hyperlink>
      <w:r>
        <w:t xml:space="preserve">; </w:t>
      </w:r>
      <w:hyperlink r:id="rId104">
        <w:r>
          <w:rPr>
            <w:color w:val="0000EE"/>
            <w:u w:val="single"/>
          </w:rPr>
          <w:t>Rm 13.1–7</w:t>
        </w:r>
      </w:hyperlink>
      <w:r>
        <w:t>.</w:t>
      </w:r>
      <w:r/>
      <w:r/>
    </w:p>
    <w:p>
      <w:r/>
    </w:p>
    <w:p>
      <w:pPr>
        <w:pStyle w:val="Heading2"/>
      </w:pPr>
      <w:r>
        <w:t>Tite 3.1–11</w:t>
      </w:r>
      <w:r/>
    </w:p>
    <w:p>
      <w:r/>
      <w:r>
        <w:t>Dans ce chapitre 3, l'accent est toujours mis sur la nécessité d'un enseignement sain (</w:t>
      </w:r>
      <w:hyperlink r:id="rId66">
        <w:r>
          <w:rPr>
            <w:color w:val="0000EE"/>
            <w:u w:val="single"/>
          </w:rPr>
          <w:t xml:space="preserve">1.9 </w:t>
        </w:r>
      </w:hyperlink>
      <w:r>
        <w:t xml:space="preserve">; </w:t>
      </w:r>
      <w:hyperlink r:id="rId105">
        <w:r>
          <w:rPr>
            <w:color w:val="0000EE"/>
            <w:u w:val="single"/>
          </w:rPr>
          <w:t>2.1</w:t>
        </w:r>
      </w:hyperlink>
      <w:r>
        <w:t xml:space="preserve">), et Paul se tourne maintenant vers les relations que doit avoir la communauté chrétienne avec la société en général (voir </w:t>
      </w:r>
      <w:hyperlink r:id="rId106">
        <w:r>
          <w:rPr>
            <w:color w:val="0000EE"/>
            <w:u w:val="single"/>
          </w:rPr>
          <w:t>1Tm 2.2–4</w:t>
        </w:r>
      </w:hyperlink>
      <w:r>
        <w:t xml:space="preserve">). Comme dans </w:t>
      </w:r>
      <w:hyperlink r:id="rId107">
        <w:r>
          <w:rPr>
            <w:color w:val="0000EE"/>
            <w:u w:val="single"/>
          </w:rPr>
          <w:t>Ti 2.1–15</w:t>
        </w:r>
      </w:hyperlink>
      <w:r>
        <w:t>, les instructions de Dieu pour son peuple (</w:t>
      </w:r>
      <w:hyperlink r:id="rId108">
        <w:r>
          <w:rPr>
            <w:color w:val="0000EE"/>
            <w:u w:val="single"/>
          </w:rPr>
          <w:t>3.1–2</w:t>
        </w:r>
      </w:hyperlink>
      <w:r>
        <w:t>) sont fondées sur ses interactions avec eux (</w:t>
      </w:r>
      <w:hyperlink r:id="rId85">
        <w:r>
          <w:rPr>
            <w:color w:val="0000EE"/>
            <w:u w:val="single"/>
          </w:rPr>
          <w:t xml:space="preserve">3.3–7 </w:t>
        </w:r>
      </w:hyperlink>
      <w:r>
        <w:t xml:space="preserve">; voir </w:t>
      </w:r>
      <w:r>
        <w:t>note d'étude sur 2.11–15</w:t>
      </w:r>
      <w:r>
        <w:t>). Paul recommande ensuite à Tite d'éviter les disputes inutiles, et de mettre l'accent sur l'enseignement qui porte du fruit (</w:t>
      </w:r>
      <w:hyperlink r:id="rId109">
        <w:r>
          <w:rPr>
            <w:color w:val="0000EE"/>
            <w:u w:val="single"/>
          </w:rPr>
          <w:t>3.8–11</w:t>
        </w:r>
      </w:hyperlink>
      <w:r>
        <w:t>).</w:t>
      </w:r>
      <w:r/>
      <w:r/>
    </w:p>
    <w:p>
      <w:r/>
    </w:p>
    <w:p>
      <w:pPr>
        <w:pStyle w:val="Heading2"/>
      </w:pPr>
      <w:r>
        <w:t>Tite 3.3</w:t>
      </w:r>
      <w:r/>
    </w:p>
    <w:p>
      <w:r/>
      <w:r>
        <w:t>Compte tenu de l'état où nous étions lorsque Dieu est venu nous chercher (</w:t>
      </w:r>
      <w:hyperlink r:id="rId29">
        <w:r>
          <w:rPr>
            <w:color w:val="0000EE"/>
            <w:u w:val="single"/>
          </w:rPr>
          <w:t xml:space="preserve">3.4 </w:t>
        </w:r>
      </w:hyperlink>
      <w:r>
        <w:t xml:space="preserve">; voir </w:t>
      </w:r>
      <w:hyperlink r:id="rId110">
        <w:r>
          <w:rPr>
            <w:color w:val="0000EE"/>
            <w:u w:val="single"/>
          </w:rPr>
          <w:t xml:space="preserve">Ep 2.1–4 </w:t>
        </w:r>
      </w:hyperlink>
      <w:r>
        <w:t xml:space="preserve">; </w:t>
      </w:r>
      <w:hyperlink r:id="rId111">
        <w:r>
          <w:rPr>
            <w:color w:val="0000EE"/>
            <w:u w:val="single"/>
          </w:rPr>
          <w:t xml:space="preserve">5.8 </w:t>
        </w:r>
      </w:hyperlink>
      <w:r>
        <w:t xml:space="preserve">; </w:t>
      </w:r>
      <w:hyperlink r:id="rId112">
        <w:r>
          <w:rPr>
            <w:color w:val="0000EE"/>
            <w:u w:val="single"/>
          </w:rPr>
          <w:t xml:space="preserve">Col 3.7 </w:t>
        </w:r>
      </w:hyperlink>
      <w:r>
        <w:t xml:space="preserve">; </w:t>
      </w:r>
      <w:hyperlink r:id="rId113">
        <w:r>
          <w:rPr>
            <w:color w:val="0000EE"/>
            <w:u w:val="single"/>
          </w:rPr>
          <w:t>1P 4.3</w:t>
        </w:r>
      </w:hyperlink>
      <w:r>
        <w:t>), nous devrions nous montrer humbles (</w:t>
      </w:r>
      <w:hyperlink r:id="rId114">
        <w:r>
          <w:rPr>
            <w:color w:val="0000EE"/>
            <w:u w:val="single"/>
          </w:rPr>
          <w:t>3.2</w:t>
        </w:r>
      </w:hyperlink>
      <w:r>
        <w:t>).</w:t>
      </w:r>
      <w:r/>
      <w:r/>
    </w:p>
    <w:p>
      <w:r/>
    </w:p>
    <w:p>
      <w:pPr>
        <w:pStyle w:val="Heading2"/>
      </w:pPr>
      <w:r>
        <w:t>Tite 3.4</w:t>
      </w:r>
      <w:r/>
    </w:p>
    <w:p>
      <w:r/>
      <w: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6">
        <w:r>
          <w:rPr>
            <w:color w:val="0000EE"/>
            <w:u w:val="single"/>
          </w:rPr>
          <w:t>2.11</w:t>
        </w:r>
      </w:hyperlink>
      <w:r>
        <w:t>,</w:t>
      </w:r>
      <w:hyperlink r:id="rId28">
        <w:r>
          <w:rPr>
            <w:color w:val="0000EE"/>
            <w:u w:val="single"/>
          </w:rPr>
          <w:t xml:space="preserve">13 </w:t>
        </w:r>
      </w:hyperlink>
      <w:r>
        <w:t xml:space="preserve">; voir </w:t>
      </w:r>
      <w:r>
        <w:t>note d'étude sur 1 Tm 6.14</w:t>
      </w:r>
      <w:r>
        <w:t>).</w:t>
      </w:r>
      <w:r/>
      <w:r/>
    </w:p>
    <w:p>
      <w:r/>
    </w:p>
    <w:p>
      <w:pPr>
        <w:pStyle w:val="Heading2"/>
      </w:pPr>
      <w:r>
        <w:t>Tite 3.4–7</w:t>
      </w:r>
      <w:r/>
    </w:p>
    <w:p>
      <w:r/>
      <w:r>
        <w:t xml:space="preserve">Ce passage est peut-être une citation ou un résumé d'un enseignement traditionnel (voir </w:t>
      </w:r>
      <w:hyperlink r:id="rId115">
        <w:r>
          <w:rPr>
            <w:color w:val="0000EE"/>
            <w:u w:val="single"/>
          </w:rPr>
          <w:t xml:space="preserve">1Tm 1.15 </w:t>
        </w:r>
      </w:hyperlink>
      <w:r>
        <w:t xml:space="preserve">; </w:t>
      </w:r>
      <w:hyperlink r:id="rId116">
        <w:r>
          <w:rPr>
            <w:color w:val="0000EE"/>
            <w:u w:val="single"/>
          </w:rPr>
          <w:t>2.5–6</w:t>
        </w:r>
      </w:hyperlink>
      <w:r>
        <w:t>).</w:t>
      </w:r>
      <w:r/>
      <w:r/>
    </w:p>
    <w:p>
      <w:r/>
    </w:p>
    <w:p>
      <w:pPr>
        <w:pStyle w:val="Heading2"/>
      </w:pPr>
      <w:r>
        <w:t>Tite 3.5</w:t>
      </w:r>
      <w:r/>
    </w:p>
    <w:p>
      <w:r/>
      <w:r>
        <w:t xml:space="preserve">Le passage établit un contraste est entre les actions humaines (que certains croient faussement être méritoires pour le salut) et la grâce de Dieu (voir </w:t>
      </w:r>
      <w:hyperlink r:id="rId117">
        <w:r>
          <w:rPr>
            <w:color w:val="0000EE"/>
            <w:u w:val="single"/>
          </w:rPr>
          <w:t>Ga 2.16</w:t>
        </w:r>
      </w:hyperlink>
      <w:r>
        <w:t>). Le salut se fait par la foi, une foi qui ne s'appuie que sur la miséricorde de Dieu (</w:t>
      </w:r>
      <w:hyperlink r:id="rId118">
        <w:r>
          <w:rPr>
            <w:color w:val="0000EE"/>
            <w:u w:val="single"/>
          </w:rPr>
          <w:t>Ep 2.8</w:t>
        </w:r>
      </w:hyperlink>
      <w:r>
        <w:t xml:space="preserve">). • Sur l'effacement de nos péchés et la nouvelle naissance, voir </w:t>
      </w:r>
      <w:hyperlink r:id="rId119">
        <w:r>
          <w:rPr>
            <w:color w:val="0000EE"/>
            <w:u w:val="single"/>
          </w:rPr>
          <w:t xml:space="preserve">Ez 16.9 </w:t>
        </w:r>
      </w:hyperlink>
      <w:r>
        <w:t xml:space="preserve">; </w:t>
      </w:r>
      <w:hyperlink r:id="rId120">
        <w:r>
          <w:rPr>
            <w:color w:val="0000EE"/>
            <w:u w:val="single"/>
          </w:rPr>
          <w:t xml:space="preserve">Jn 3.1–15 </w:t>
        </w:r>
      </w:hyperlink>
      <w:r>
        <w:t xml:space="preserve">; </w:t>
      </w:r>
      <w:hyperlink r:id="rId121">
        <w:r>
          <w:rPr>
            <w:color w:val="0000EE"/>
            <w:u w:val="single"/>
          </w:rPr>
          <w:t xml:space="preserve">Ep 5.26 </w:t>
        </w:r>
      </w:hyperlink>
      <w:r>
        <w:t xml:space="preserve">; </w:t>
      </w:r>
      <w:hyperlink r:id="rId122">
        <w:r>
          <w:rPr>
            <w:color w:val="0000EE"/>
            <w:u w:val="single"/>
          </w:rPr>
          <w:t xml:space="preserve">Hé 10.22 </w:t>
        </w:r>
      </w:hyperlink>
      <w:r>
        <w:t xml:space="preserve">; </w:t>
      </w:r>
      <w:hyperlink r:id="rId123">
        <w:r>
          <w:rPr>
            <w:color w:val="0000EE"/>
            <w:u w:val="single"/>
          </w:rPr>
          <w:t>2P 1.9</w:t>
        </w:r>
      </w:hyperlink>
      <w:r>
        <w:t xml:space="preserve">. • La vie nouvelle par le Saint-Esprit dont parle l'apôtre signifie un abandon complet de la vie de péché et de mort, pour être introduit dans le domaine de la vie et de la pureté (voir aussi </w:t>
      </w:r>
      <w:hyperlink r:id="rId124">
        <w:r>
          <w:rPr>
            <w:color w:val="0000EE"/>
            <w:u w:val="single"/>
          </w:rPr>
          <w:t xml:space="preserve">Rm 12.2 </w:t>
        </w:r>
      </w:hyperlink>
      <w:r>
        <w:t xml:space="preserve">; </w:t>
      </w:r>
      <w:hyperlink r:id="rId125">
        <w:r>
          <w:rPr>
            <w:color w:val="0000EE"/>
            <w:u w:val="single"/>
          </w:rPr>
          <w:t xml:space="preserve">2Co 5.17 </w:t>
        </w:r>
      </w:hyperlink>
      <w:r>
        <w:t xml:space="preserve">; </w:t>
      </w:r>
      <w:hyperlink r:id="rId126">
        <w:r>
          <w:rPr>
            <w:color w:val="0000EE"/>
            <w:u w:val="single"/>
          </w:rPr>
          <w:t>Col 3.10</w:t>
        </w:r>
      </w:hyperlink>
      <w:r>
        <w:t>).</w:t>
      </w:r>
      <w:r/>
      <w:r/>
    </w:p>
    <w:p>
      <w:r/>
    </w:p>
    <w:p>
      <w:pPr>
        <w:pStyle w:val="Heading2"/>
      </w:pPr>
      <w:r>
        <w:t>Tite 3.7</w:t>
      </w:r>
      <w:r/>
    </w:p>
    <w:p>
      <w:r/>
      <w:r>
        <w:t xml:space="preserve">La première moitié de ce verset est un résumé de </w:t>
      </w:r>
      <w:hyperlink r:id="rId127">
        <w:r>
          <w:rPr>
            <w:color w:val="0000EE"/>
            <w:u w:val="single"/>
          </w:rPr>
          <w:t>3.4–6</w:t>
        </w:r>
      </w:hyperlink>
      <w:r>
        <w:t xml:space="preserve">. La seconde moitié nous donne la raison pour laquelle Dieu a agi ainsi. • Sur la justification, voir </w:t>
      </w:r>
      <w:hyperlink r:id="rId128">
        <w:r>
          <w:rPr>
            <w:color w:val="0000EE"/>
            <w:u w:val="single"/>
          </w:rPr>
          <w:t xml:space="preserve">Rm 3.20–28 </w:t>
        </w:r>
      </w:hyperlink>
      <w:r>
        <w:t xml:space="preserve">; </w:t>
      </w:r>
      <w:hyperlink r:id="rId129">
        <w:r>
          <w:rPr>
            <w:color w:val="0000EE"/>
            <w:u w:val="single"/>
          </w:rPr>
          <w:t>Ga 2.16–17</w:t>
        </w:r>
      </w:hyperlink>
      <w:r>
        <w:t xml:space="preserve">. • Notre statut d'hériter (voir </w:t>
      </w:r>
      <w:hyperlink r:id="rId130">
        <w:r>
          <w:rPr>
            <w:color w:val="0000EE"/>
            <w:u w:val="single"/>
          </w:rPr>
          <w:t xml:space="preserve">Rm 8.15–17 </w:t>
        </w:r>
      </w:hyperlink>
      <w:r>
        <w:t xml:space="preserve">; </w:t>
      </w:r>
      <w:hyperlink r:id="rId131">
        <w:r>
          <w:rPr>
            <w:color w:val="0000EE"/>
            <w:u w:val="single"/>
          </w:rPr>
          <w:t xml:space="preserve">1Co 6.9–11 </w:t>
        </w:r>
      </w:hyperlink>
      <w:r>
        <w:t xml:space="preserve">; </w:t>
      </w:r>
      <w:hyperlink r:id="rId132">
        <w:r>
          <w:rPr>
            <w:color w:val="0000EE"/>
            <w:u w:val="single"/>
          </w:rPr>
          <w:t xml:space="preserve">Ga 4.6–7 </w:t>
        </w:r>
      </w:hyperlink>
      <w:r>
        <w:t xml:space="preserve">; </w:t>
      </w:r>
      <w:hyperlink r:id="rId133">
        <w:r>
          <w:rPr>
            <w:color w:val="0000EE"/>
            <w:u w:val="single"/>
          </w:rPr>
          <w:t>Ep 1.13–14</w:t>
        </w:r>
      </w:hyperlink>
      <w:r>
        <w:t>) est lié au fait que nous ayons reçu l'Esprit Saint (</w:t>
      </w:r>
      <w:hyperlink r:id="rId23">
        <w:r>
          <w:rPr>
            <w:color w:val="0000EE"/>
            <w:u w:val="single"/>
          </w:rPr>
          <w:t>Ti 3.5</w:t>
        </w:r>
      </w:hyperlink>
      <w:r>
        <w:t>).</w:t>
      </w:r>
      <w:r/>
      <w:r/>
    </w:p>
    <w:p>
      <w:r/>
    </w:p>
    <w:p>
      <w:pPr>
        <w:pStyle w:val="Heading2"/>
      </w:pPr>
      <w:r>
        <w:t>Tite 3.8</w:t>
      </w:r>
      <w:r/>
    </w:p>
    <w:p>
      <w:r/>
      <w:r>
        <w:t xml:space="preserve">La parole vraie et digne d'être reçue est </w:t>
      </w:r>
      <w:hyperlink r:id="rId134">
        <w:r>
          <w:rPr>
            <w:color w:val="0000EE"/>
            <w:u w:val="single"/>
          </w:rPr>
          <w:t>3.4–7</w:t>
        </w:r>
      </w:hyperlink>
      <w:r>
        <w:t xml:space="preserve"> (voir </w:t>
      </w:r>
      <w:hyperlink r:id="rId115">
        <w:r>
          <w:rPr>
            <w:color w:val="0000EE"/>
            <w:u w:val="single"/>
          </w:rPr>
          <w:t>1Tm 1.15</w:t>
        </w:r>
      </w:hyperlink>
      <w:r>
        <w:t>).</w:t>
      </w:r>
      <w:r/>
      <w:r/>
    </w:p>
    <w:p>
      <w:r/>
    </w:p>
    <w:p>
      <w:pPr>
        <w:pStyle w:val="Heading2"/>
      </w:pPr>
      <w:r>
        <w:t>Tite 3.10–11</w:t>
      </w:r>
      <w:r/>
    </w:p>
    <w:p>
      <w:r/>
      <w:r>
        <w:t xml:space="preserve">Paul parle de personnes très querelleuses qui provoquent des divisions (voir </w:t>
      </w:r>
      <w:hyperlink r:id="rId38">
        <w:r>
          <w:rPr>
            <w:color w:val="0000EE"/>
            <w:u w:val="single"/>
          </w:rPr>
          <w:t>1.11</w:t>
        </w:r>
      </w:hyperlink>
      <w:r>
        <w:t>,</w:t>
      </w:r>
      <w:hyperlink r:id="rId48">
        <w:r>
          <w:rPr>
            <w:color w:val="0000EE"/>
            <w:u w:val="single"/>
          </w:rPr>
          <w:t>13</w:t>
        </w:r>
      </w:hyperlink>
      <w:r>
        <w:t>).</w:t>
      </w:r>
      <w:r/>
      <w:r/>
    </w:p>
    <w:p>
      <w:r/>
    </w:p>
    <w:p>
      <w:pPr>
        <w:pStyle w:val="Heading2"/>
      </w:pPr>
      <w:r>
        <w:t>Tite 3.12</w:t>
      </w:r>
      <w:r/>
    </w:p>
    <w:p>
      <w:r/>
      <w:r>
        <w:t xml:space="preserve">De toute évidence, Artémas ou Tychique vont être les remplaçants de Tite en Crète. Puisque Tychique a finalement été envoyé à Éphèse (voir </w:t>
      </w:r>
      <w:hyperlink r:id="rId135">
        <w:r>
          <w:rPr>
            <w:color w:val="0000EE"/>
            <w:u w:val="single"/>
          </w:rPr>
          <w:t>2Tm 4.12</w:t>
        </w:r>
      </w:hyperlink>
      <w: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6">
        <w:r>
          <w:rPr>
            <w:color w:val="0000EE"/>
            <w:u w:val="single"/>
          </w:rPr>
          <w:t>Rm 15.19</w:t>
        </w:r>
      </w:hyperlink>
      <w:r>
        <w:t>, qui mentionne l'activité de Paul encore plus à l'ouest).</w:t>
      </w:r>
      <w:r/>
      <w:r/>
    </w:p>
    <w:p>
      <w:r/>
    </w:p>
    <w:p>
      <w:pPr>
        <w:pStyle w:val="Heading2"/>
      </w:pPr>
      <w:r>
        <w:t>Tite 3.12–15</w:t>
      </w:r>
      <w:r/>
    </w:p>
    <w:p>
      <w:r/>
      <w:r>
        <w:t>La lettre se termine par des nouvelles (</w:t>
      </w:r>
      <w:hyperlink r:id="rId137">
        <w:r>
          <w:rPr>
            <w:color w:val="0000EE"/>
            <w:u w:val="single"/>
          </w:rPr>
          <w:t>3.12</w:t>
        </w:r>
      </w:hyperlink>
      <w:r>
        <w:t>), une exhortation finale (</w:t>
      </w:r>
      <w:hyperlink r:id="rId138">
        <w:r>
          <w:rPr>
            <w:color w:val="0000EE"/>
            <w:u w:val="single"/>
          </w:rPr>
          <w:t>3.13–14</w:t>
        </w:r>
      </w:hyperlink>
      <w:r>
        <w:t>), des salutations, et une bénédiction (</w:t>
      </w:r>
      <w:hyperlink r:id="rId139">
        <w:r>
          <w:rPr>
            <w:color w:val="0000EE"/>
            <w:u w:val="single"/>
          </w:rPr>
          <w:t>3.15</w:t>
        </w:r>
      </w:hyperlink>
      <w:r>
        <w:t>).</w:t>
      </w:r>
      <w:r/>
      <w:r/>
    </w:p>
    <w:p>
      <w:r/>
    </w:p>
    <w:p>
      <w:pPr>
        <w:pStyle w:val="Heading2"/>
      </w:pPr>
      <w:r>
        <w:t>Tite 3.13</w:t>
      </w:r>
      <w:r/>
    </w:p>
    <w:p>
      <w:r/>
      <w: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40">
        <w:r>
          <w:rPr>
            <w:color w:val="0000EE"/>
            <w:u w:val="single"/>
          </w:rPr>
          <w:t xml:space="preserve">Lc 7.30 </w:t>
        </w:r>
      </w:hyperlink>
      <w:r>
        <w:t xml:space="preserve">; </w:t>
      </w:r>
      <w:hyperlink r:id="rId141">
        <w:r>
          <w:rPr>
            <w:color w:val="0000EE"/>
            <w:u w:val="single"/>
          </w:rPr>
          <w:t>10.25</w:t>
        </w:r>
      </w:hyperlink>
      <w:r>
        <w:t xml:space="preserve">) ; son nom païen ("cadeau de Zeus") rend improbable qu'il soit un expert en droit juif. • Apollos est vraisemblablement le même homme que dans </w:t>
      </w:r>
      <w:hyperlink r:id="rId142">
        <w:r>
          <w:rPr>
            <w:color w:val="0000EE"/>
            <w:u w:val="single"/>
          </w:rPr>
          <w:t xml:space="preserve">Ac 18.24 </w:t>
        </w:r>
      </w:hyperlink>
      <w:r>
        <w:t xml:space="preserve">; </w:t>
      </w:r>
      <w:hyperlink r:id="rId143">
        <w:r>
          <w:rPr>
            <w:color w:val="0000EE"/>
            <w:u w:val="single"/>
          </w:rPr>
          <w:t xml:space="preserve">19.1 </w:t>
        </w:r>
      </w:hyperlink>
      <w:r>
        <w:t xml:space="preserve">; </w:t>
      </w:r>
      <w:hyperlink r:id="rId144">
        <w:r>
          <w:rPr>
            <w:color w:val="0000EE"/>
            <w:u w:val="single"/>
          </w:rPr>
          <w:t xml:space="preserve">1Co 1.12 </w:t>
        </w:r>
      </w:hyperlink>
      <w:r>
        <w:t xml:space="preserve">; </w:t>
      </w:r>
      <w:hyperlink r:id="rId145">
        <w:r>
          <w:rPr>
            <w:color w:val="0000EE"/>
            <w:u w:val="single"/>
          </w:rPr>
          <w:t>3.4–6</w:t>
        </w:r>
      </w:hyperlink>
      <w:r>
        <w:t>,</w:t>
      </w:r>
      <w:hyperlink r:id="rId146">
        <w:r>
          <w:rPr>
            <w:color w:val="0000EE"/>
            <w:u w:val="single"/>
          </w:rPr>
          <w:t xml:space="preserve">22 </w:t>
        </w:r>
      </w:hyperlink>
      <w:r>
        <w:t xml:space="preserve">; </w:t>
      </w:r>
      <w:hyperlink r:id="rId147">
        <w:r>
          <w:rPr>
            <w:color w:val="0000EE"/>
            <w:u w:val="single"/>
          </w:rPr>
          <w:t xml:space="preserve">4.6 </w:t>
        </w:r>
      </w:hyperlink>
      <w:r>
        <w:t xml:space="preserve">; </w:t>
      </w:r>
      <w:hyperlink r:id="rId148">
        <w:r>
          <w:rPr>
            <w:color w:val="0000EE"/>
            <w:u w:val="single"/>
          </w:rPr>
          <w:t>16.12</w:t>
        </w:r>
      </w:hyperlink>
      <w:r>
        <w:t xml:space="preserve">. • Pour le soutien au serviteurs de l'Évangile, voir </w:t>
      </w:r>
      <w:hyperlink r:id="rId149">
        <w:r>
          <w:rPr>
            <w:color w:val="0000EE"/>
            <w:u w:val="single"/>
          </w:rPr>
          <w:t xml:space="preserve">1Tm 3.2 </w:t>
        </w:r>
      </w:hyperlink>
      <w:r>
        <w:t xml:space="preserve">; </w:t>
      </w:r>
      <w:hyperlink r:id="rId150">
        <w:r>
          <w:rPr>
            <w:color w:val="0000EE"/>
            <w:u w:val="single"/>
          </w:rPr>
          <w:t xml:space="preserve">3Jn 1.5–8 </w:t>
        </w:r>
      </w:hyperlink>
      <w:r>
        <w:t xml:space="preserve">; </w:t>
      </w:r>
      <w:hyperlink r:id="rId151">
        <w:r>
          <w:rPr>
            <w:color w:val="0000EE"/>
            <w:u w:val="single"/>
          </w:rPr>
          <w:t xml:space="preserve">Rm 15.24 </w:t>
        </w:r>
      </w:hyperlink>
      <w:r>
        <w:t xml:space="preserve">; </w:t>
      </w:r>
      <w:hyperlink r:id="rId152">
        <w:r>
          <w:rPr>
            <w:color w:val="0000EE"/>
            <w:u w:val="single"/>
          </w:rPr>
          <w:t>1Co 16.6</w:t>
        </w:r>
      </w:hyperlink>
      <w:r>
        <w:t>,</w:t>
      </w:r>
      <w:hyperlink r:id="rId153">
        <w:r>
          <w:rPr>
            <w:color w:val="0000EE"/>
            <w:u w:val="single"/>
          </w:rPr>
          <w:t xml:space="preserve">11 </w:t>
        </w:r>
      </w:hyperlink>
      <w:r>
        <w:t xml:space="preserve">; </w:t>
      </w:r>
      <w:hyperlink r:id="rId154">
        <w:r>
          <w:rPr>
            <w:color w:val="0000EE"/>
            <w:u w:val="single"/>
          </w:rPr>
          <w:t>2Co 1.16</w:t>
        </w:r>
      </w:hyperlink>
      <w:r>
        <w:t>.</w:t>
      </w:r>
      <w:r/>
      <w:r/>
    </w:p>
    <w:p>
      <w:r/>
    </w:p>
    <w:p>
      <w:pPr>
        <w:pStyle w:val="Heading2"/>
      </w:pPr>
      <w:r>
        <w:t>Tite 3.14</w:t>
      </w:r>
      <w:r/>
    </w:p>
    <w:p>
      <w:r/>
      <w:r>
        <w:t xml:space="preserve">Cette exhortation finale est liée à la responsabilité de prendre soin de Zénas et d'Apollos (voir </w:t>
      </w:r>
      <w:hyperlink r:id="rId155">
        <w:r>
          <w:rPr>
            <w:color w:val="0000EE"/>
            <w:u w:val="single"/>
          </w:rPr>
          <w:t xml:space="preserve">Rm 12.13 </w:t>
        </w:r>
      </w:hyperlink>
      <w:r>
        <w:t xml:space="preserve">; </w:t>
      </w:r>
      <w:hyperlink r:id="rId156">
        <w:r>
          <w:rPr>
            <w:color w:val="0000EE"/>
            <w:u w:val="single"/>
          </w:rPr>
          <w:t xml:space="preserve">Ep 4.28 </w:t>
        </w:r>
      </w:hyperlink>
      <w:r>
        <w:t xml:space="preserve">; </w:t>
      </w:r>
      <w:hyperlink r:id="rId157">
        <w:r>
          <w:rPr>
            <w:color w:val="0000EE"/>
            <w:u w:val="single"/>
          </w:rPr>
          <w:t xml:space="preserve">1Th 4.11 </w:t>
        </w:r>
      </w:hyperlink>
      <w:r>
        <w:t xml:space="preserve">; </w:t>
      </w:r>
      <w:hyperlink r:id="rId158">
        <w:r>
          <w:rPr>
            <w:color w:val="0000EE"/>
            <w:u w:val="single"/>
          </w:rPr>
          <w:t>1Tm 5.8</w:t>
        </w:r>
      </w:hyperlink>
      <w:r>
        <w:t>,</w:t>
      </w:r>
      <w:hyperlink r:id="rId159">
        <w:r>
          <w:rPr>
            <w:color w:val="0000EE"/>
            <w:u w:val="single"/>
          </w:rPr>
          <w:t xml:space="preserve">16 </w:t>
        </w:r>
      </w:hyperlink>
      <w:r>
        <w:t xml:space="preserve">; </w:t>
      </w:r>
      <w:hyperlink r:id="rId160">
        <w:r>
          <w:rPr>
            <w:color w:val="0000EE"/>
            <w:u w:val="single"/>
          </w:rPr>
          <w:t>6.18</w:t>
        </w:r>
      </w:hyperlink>
      <w:r>
        <w:t>). • Il faut s'impliquer dans le ministère vivifiant de la Bonne Nouvelle, plutôt que dans les spéculations stériles des faux enseignants.</w:t>
      </w:r>
      <w:r/>
      <w:r/>
    </w:p>
    <w:p>
      <w:r/>
    </w:p>
    <w:p>
      <w:pPr>
        <w:pStyle w:val="Heading2"/>
      </w:pPr>
      <w:r>
        <w:t>Tite 3.15</w:t>
      </w:r>
      <w:r/>
    </w:p>
    <w:p>
      <w:r/>
      <w:r>
        <w:t>La lettre est adressée à Tite (</w:t>
      </w:r>
      <w:hyperlink r:id="rId26">
        <w:r>
          <w:rPr>
            <w:color w:val="0000EE"/>
            <w:u w:val="single"/>
          </w:rPr>
          <w:t>1.4</w:t>
        </w:r>
      </w:hyperlink>
      <w:r>
        <w:t>), mais c'est en réalité toute l'Église qui en est bénéficiaire.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Eph2:1-Eph2:4" TargetMode="External"/><Relationship Id="rId111" Type="http://schemas.openxmlformats.org/officeDocument/2006/relationships/hyperlink" Target="https://ref.ly/Eph5:8" TargetMode="External"/><Relationship Id="rId112" Type="http://schemas.openxmlformats.org/officeDocument/2006/relationships/hyperlink" Target="https://ref.ly/Col3:7" TargetMode="External"/><Relationship Id="rId113" Type="http://schemas.openxmlformats.org/officeDocument/2006/relationships/hyperlink" Target="https://ref.ly/1Pet4:3" TargetMode="External"/><Relationship Id="rId114" Type="http://schemas.openxmlformats.org/officeDocument/2006/relationships/hyperlink" Target="https://ref.ly/Titus3:2"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