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3">
        <w:r>
          <w:rPr>
            <w:lang w:val="ar_AE" w:bidi="ar_AE"/>
          </w:rPr>
          <w:rPr>
            <w:color w:val="0000EE"/>
            <w:u w:val="single"/>
          </w:rPr>
          <w:t>يشوع 14:7</w:t>
        </w:r>
      </w:hyperlink>
      <w:r>
        <w:rPr>
          <w:lang w:val="ar_AE" w:bidi="ar_AE"/>
        </w:rPr>
        <w:t xml:space="preserve">; </w:t>
      </w:r>
      <w:hyperlink r:id="rId14">
        <w:r>
          <w:rPr>
            <w:lang w:val="ar_AE" w:bidi="ar_AE"/>
          </w:rPr>
          <w:rPr>
            <w:color w:val="0000EE"/>
            <w:u w:val="single"/>
          </w:rPr>
          <w:t>2 ملوك 18:12</w:t>
        </w:r>
      </w:hyperlink>
      <w:r>
        <w:rPr>
          <w:lang w:val="ar_AE" w:bidi="ar_AE"/>
        </w:rPr>
        <w:t xml:space="preserve">; </w:t>
      </w:r>
      <w:hyperlink r:id="rId15">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6">
        <w:r>
          <w:rPr>
            <w:lang w:val="ar_AE" w:bidi="ar_AE"/>
          </w:rPr>
          <w:rPr>
            <w:color w:val="0000EE"/>
            <w:u w:val="single"/>
          </w:rPr>
          <w:t>1:21</w:t>
        </w:r>
      </w:hyperlink>
      <w:r>
        <w:rPr>
          <w:lang w:val="ar_AE" w:bidi="ar_AE"/>
        </w:rPr>
        <w:t xml:space="preserve">, </w:t>
      </w:r>
      <w:hyperlink r:id="rId17">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18">
        <w:r>
          <w:rPr>
            <w:lang w:val="ar_AE" w:bidi="ar_AE"/>
          </w:rPr>
          <w:rPr>
            <w:color w:val="0000EE"/>
            <w:u w:val="single"/>
          </w:rPr>
          <w:t>رومية 1:8–14</w:t>
        </w:r>
      </w:hyperlink>
      <w:r>
        <w:rPr>
          <w:lang w:val="ar_AE" w:bidi="ar_AE"/>
        </w:rPr>
        <w:t xml:space="preserve">؛ </w:t>
      </w:r>
      <w:hyperlink r:id="rId19">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0">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1">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2">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4">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5">
        <w:r>
          <w:rPr>
            <w:lang w:val="ar_AE" w:bidi="ar_AE"/>
          </w:rPr>
          <w:rPr>
            <w:color w:val="0000EE"/>
            <w:u w:val="single"/>
          </w:rPr>
          <w:t>تكوين 6:1–4</w:t>
        </w:r>
      </w:hyperlink>
      <w:r>
        <w:rPr>
          <w:lang w:val="ar_AE" w:bidi="ar_AE"/>
        </w:rPr>
        <w:t xml:space="preserve">. وقد فهم التقليد اليهودي "أبناء الله" في </w:t>
      </w:r>
      <w:hyperlink r:id="rId26">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7">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28">
        <w:r>
          <w:rPr>
            <w:lang w:val="ar_AE" w:bidi="ar_AE"/>
          </w:rPr>
          <w:rPr>
            <w:color w:val="0000EE"/>
            <w:u w:val="single"/>
          </w:rPr>
          <w:t>تكوين 18:17–19:26</w:t>
        </w:r>
      </w:hyperlink>
      <w:r>
        <w:rPr>
          <w:lang w:val="ar_AE" w:bidi="ar_AE"/>
        </w:rPr>
        <w:t xml:space="preserve">؛ </w:t>
      </w:r>
      <w:hyperlink r:id="rId29">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0">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1">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lang w:val="ar_AE" w:bidi="ar_AE"/>
          </w:rPr>
          <w:rPr>
            <w:color w:val="0000EE"/>
            <w:u w:val="single"/>
          </w:rPr>
          <w:t>1:18</w:t>
        </w:r>
      </w:hyperlink>
      <w:r>
        <w:rPr>
          <w:lang w:val="ar_AE" w:bidi="ar_AE"/>
        </w:rPr>
        <w:t xml:space="preserve">; </w:t>
      </w:r>
      <w:hyperlink r:id="rId33">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4">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lang w:val="ar_AE" w:bidi="ar_AE"/>
          </w:rPr>
          <w:rPr>
            <w:color w:val="0000EE"/>
            <w:u w:val="single"/>
          </w:rPr>
          <w:t>تسالونيكي الأولى 4:16</w:t>
        </w:r>
      </w:hyperlink>
      <w:r>
        <w:rPr>
          <w:lang w:val="ar_AE" w:bidi="ar_AE"/>
        </w:rPr>
        <w:t>). ويُذكر ميخائيل عدة مرات في الكتاب المُقَدَّس (</w:t>
      </w:r>
      <w:hyperlink r:id="rId36">
        <w:r>
          <w:rPr>
            <w:lang w:val="ar_AE" w:bidi="ar_AE"/>
          </w:rPr>
          <w:rPr>
            <w:color w:val="0000EE"/>
            <w:u w:val="single"/>
          </w:rPr>
          <w:t>دانيآل 10:13</w:t>
        </w:r>
      </w:hyperlink>
      <w:r>
        <w:rPr>
          <w:lang w:val="ar_AE" w:bidi="ar_AE"/>
        </w:rPr>
        <w:t xml:space="preserve">,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12:1</w:t>
        </w:r>
      </w:hyperlink>
      <w:r>
        <w:rPr>
          <w:lang w:val="ar_AE" w:bidi="ar_AE"/>
        </w:rPr>
        <w:t xml:space="preserve">; </w:t>
      </w:r>
      <w:hyperlink r:id="rId39">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0">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1">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2">
        <w:r>
          <w:rPr>
            <w:lang w:val="ar_AE" w:bidi="ar_AE"/>
          </w:rPr>
          <w:rPr>
            <w:color w:val="0000EE"/>
            <w:u w:val="single"/>
          </w:rPr>
          <w:t>تكوين 5:18–24</w:t>
        </w:r>
      </w:hyperlink>
      <w:r>
        <w:rPr>
          <w:lang w:val="ar_AE" w:bidi="ar_AE"/>
        </w:rPr>
        <w:t xml:space="preserve">؛ </w:t>
      </w:r>
      <w:hyperlink r:id="rId43">
        <w:r>
          <w:rPr>
            <w:lang w:val="ar_AE" w:bidi="ar_AE"/>
          </w:rPr>
          <w:rPr>
            <w:color w:val="0000EE"/>
            <w:u w:val="single"/>
          </w:rPr>
          <w:t>أخبار الأيام الأول 1:3</w:t>
        </w:r>
      </w:hyperlink>
      <w:r>
        <w:rPr>
          <w:lang w:val="ar_AE" w:bidi="ar_AE"/>
        </w:rPr>
        <w:t xml:space="preserve">). ويشير </w:t>
      </w:r>
      <w:hyperlink r:id="rId44">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5">
        <w:r>
          <w:rPr>
            <w:lang w:val="ar_AE" w:bidi="ar_AE"/>
          </w:rPr>
          <w:rPr>
            <w:color w:val="0000EE"/>
            <w:u w:val="single"/>
          </w:rPr>
          <w:t>الملوك الثاني 2:1–13</w:t>
        </w:r>
      </w:hyperlink>
      <w:r>
        <w:rPr>
          <w:lang w:val="ar_AE" w:bidi="ar_AE"/>
        </w:rPr>
        <w:t xml:space="preserve">؛ انظر </w:t>
      </w:r>
      <w:hyperlink r:id="rId46">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7">
        <w:r>
          <w:rPr>
            <w:lang w:val="ar_AE" w:bidi="ar_AE"/>
          </w:rPr>
          <w:rPr>
            <w:color w:val="0000EE"/>
            <w:u w:val="single"/>
          </w:rPr>
          <w:t>أعمال الرسل 20:29–30</w:t>
        </w:r>
      </w:hyperlink>
      <w:r>
        <w:rPr>
          <w:lang w:val="ar_AE" w:bidi="ar_AE"/>
        </w:rPr>
        <w:t xml:space="preserve">، </w:t>
      </w:r>
      <w:hyperlink r:id="rId48">
        <w:r>
          <w:rPr>
            <w:lang w:val="ar_AE" w:bidi="ar_AE"/>
          </w:rPr>
          <w:rPr>
            <w:color w:val="0000EE"/>
            <w:u w:val="single"/>
          </w:rPr>
          <w:t>1 تيموثاوس 4:1–3</w:t>
        </w:r>
      </w:hyperlink>
      <w:r>
        <w:rPr>
          <w:lang w:val="ar_AE" w:bidi="ar_AE"/>
        </w:rPr>
        <w:t>، و</w:t>
      </w:r>
      <w:hyperlink r:id="rId49">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0">
        <w:r>
          <w:rPr>
            <w:lang w:val="ar_AE" w:bidi="ar_AE"/>
          </w:rPr>
          <w:rPr>
            <w:color w:val="0000EE"/>
            <w:u w:val="single"/>
          </w:rPr>
          <w:t>1:3–4</w:t>
        </w:r>
      </w:hyperlink>
      <w:r>
        <w:rPr>
          <w:lang w:val="ar_AE" w:bidi="ar_AE"/>
        </w:rPr>
        <w:t>). كان الرسل قد حذروهم من التعاليم الكاذبة (</w:t>
      </w:r>
      <w:hyperlink r:id="rId51">
        <w:r>
          <w:rPr>
            <w:lang w:val="ar_AE" w:bidi="ar_AE"/>
          </w:rPr>
          <w:rPr>
            <w:color w:val="0000EE"/>
            <w:u w:val="single"/>
          </w:rPr>
          <w:t>1:17–19</w:t>
        </w:r>
      </w:hyperlink>
      <w:r>
        <w:rPr>
          <w:lang w:val="ar_AE" w:bidi="ar_AE"/>
        </w:rPr>
        <w:t>). وكان ينبغي لهم دعم بعضهم البعض في إيمانهم (</w:t>
      </w:r>
      <w:hyperlink r:id="rId52">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0">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4">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5">
        <w:r>
          <w:rPr>
            <w:lang w:val="ar_AE" w:bidi="ar_AE"/>
          </w:rPr>
          <w:rPr>
            <w:color w:val="0000EE"/>
            <w:u w:val="single"/>
          </w:rPr>
          <w:t>1:5–7</w:t>
        </w:r>
      </w:hyperlink>
      <w:r>
        <w:rPr>
          <w:lang w:val="ar_AE" w:bidi="ar_AE"/>
        </w:rPr>
        <w:t xml:space="preserve">, </w:t>
      </w:r>
      <w:hyperlink r:id="rId5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lang w:val="ar_AE" w:bidi="ar_AE"/>
          </w:rPr>
          <w:rPr>
            <w:color w:val="0000EE"/>
            <w:u w:val="single"/>
          </w:rPr>
          <w:t>زكريّا 3:1–4</w:t>
        </w:r>
      </w:hyperlink>
      <w:r>
        <w:rPr>
          <w:lang w:val="ar_AE" w:bidi="ar_AE"/>
        </w:rPr>
        <w:t xml:space="preserve">; </w:t>
      </w:r>
      <w:hyperlink r:id="rId59">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