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hyperlink r:id="rId13">
        <w:r>
          <w:rPr>
            <w:lang w:val="zh_TW" w:bidi="zh_TW"/>
          </w:rPr>
          <w:rPr>
            <w:color w:val="0000EE"/>
            <w:u w:val="single"/>
          </w:rPr>
          <w:t>徒19:29</w:t>
        </w:r>
      </w:hyperlink>
      <w:r>
        <w:rPr>
          <w:lang w:val="zh_TW" w:bidi="zh_TW"/>
        </w:rPr>
        <w:t>，</w:t>
      </w:r>
      <w:hyperlink r:id="rId14">
        <w:r>
          <w:rPr>
            <w:lang w:val="zh_TW" w:bidi="zh_TW"/>
          </w:rPr>
          <w:rPr>
            <w:color w:val="0000EE"/>
            <w:u w:val="single"/>
          </w:rPr>
          <w:t>20:4；</w:t>
        </w:r>
      </w:hyperlink>
      <w:hyperlink r:id="rId15">
        <w:r>
          <w:rPr>
            <w:lang w:val="zh_TW" w:bidi="zh_TW"/>
          </w:rPr>
          <w:rPr>
            <w:color w:val="0000EE"/>
            <w:u w:val="single"/>
          </w:rPr>
          <w:t>羅16:23；</w:t>
        </w:r>
      </w:hyperlink>
      <w:hyperlink r:id="rId16">
        <w:r>
          <w:rPr>
            <w:lang w:val="zh_TW" w:bidi="zh_TW"/>
          </w:rPr>
          <w:rPr>
            <w:color w:val="0000EE"/>
            <w:u w:val="single"/>
          </w:rPr>
          <w:t>林前1:14</w:t>
        </w:r>
      </w:hyperlink>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hyperlink r:id="rId17">
        <w:r>
          <w:rPr>
            <w:lang w:val="zh_TW" w:bidi="zh_TW"/>
          </w:rPr>
          <w:rPr>
            <w:color w:val="0000EE"/>
            <w:u w:val="single"/>
          </w:rPr>
          <w:t>1:5</w:t>
        </w:r>
      </w:hyperlink>
      <w:r>
        <w:rPr>
          <w:lang w:val="zh_TW" w:bidi="zh_TW"/>
        </w:rPr>
        <w:t>、</w:t>
      </w:r>
      <w:hyperlink r:id="rId18">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hyperlink r:id="rId19">
        <w:r>
          <w:rPr>
            <w:lang w:val="zh_TW" w:bidi="zh_TW"/>
          </w:rPr>
          <w:rPr>
            <w:color w:val="0000EE"/>
            <w:u w:val="single"/>
          </w:rPr>
          <w:t>約壹4:1–3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hyperlink r:id="rId20">
        <w:r>
          <w:rPr>
            <w:lang w:val="zh_TW" w:bidi="zh_TW"/>
          </w:rPr>
          <w:rPr>
            <w:color w:val="0000EE"/>
            <w:u w:val="single"/>
          </w:rPr>
          <w:t>約二1:1–4</w:t>
        </w:r>
      </w:hyperlink>
      <w:r>
        <w:rPr>
          <w:lang w:val="zh_TW" w:bidi="zh_TW"/>
        </w:rPr>
        <w:t>），約翰（在這裡）強調的是認識真理並按真理而行，這與丟特腓及其追隨者形成了對比（</w:t>
      </w:r>
      <w:hyperlink r:id="rId21">
        <w:r>
          <w:rPr>
            <w:lang w:val="zh_TW" w:bidi="zh_TW"/>
          </w:rPr>
          <w:rPr>
            <w:color w:val="0000EE"/>
            <w:u w:val="single"/>
          </w:rPr>
          <w:t>約三1:9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hyperlink r:id="rId22">
        <w:r>
          <w:rPr>
            <w:lang w:val="zh_TW" w:bidi="zh_TW"/>
          </w:rPr>
          <w:rPr>
            <w:color w:val="0000EE"/>
            <w:u w:val="single"/>
          </w:rPr>
          <w:t>1:7–8</w:t>
        </w:r>
      </w:hyperlink>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hyperlink r:id="rId2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hyperlink r:id="rId24">
        <w:r>
          <w:rPr>
            <w:lang w:val="zh_TW" w:bidi="zh_TW"/>
          </w:rPr>
          <w:rPr>
            <w:color w:val="0000EE"/>
            <w:u w:val="single"/>
          </w:rPr>
          <w:t>徒18:19–19:41；</w:t>
        </w:r>
      </w:hyperlink>
      <w:hyperlink r:id="rId25">
        <w:r>
          <w:rPr>
            <w:lang w:val="zh_TW" w:bidi="zh_TW"/>
          </w:rPr>
          <w:rPr>
            <w:color w:val="0000EE"/>
            <w:u w:val="single"/>
          </w:rPr>
          <w:t>提前1:3；</w:t>
        </w:r>
      </w:hyperlink>
      <w:hyperlink r:id="rId26">
        <w:r>
          <w:rPr>
            <w:lang w:val="zh_TW" w:bidi="zh_TW"/>
          </w:rPr>
          <w:rPr>
            <w:color w:val="0000EE"/>
            <w:u w:val="single"/>
          </w:rPr>
          <w:t>彼前1:1；</w:t>
        </w:r>
      </w:hyperlink>
      <w:hyperlink r:id="rId27">
        <w:r>
          <w:rPr>
            <w:lang w:val="zh_TW" w:bidi="zh_TW"/>
          </w:rPr>
          <w:rPr>
            <w:color w:val="0000EE"/>
            <w:u w:val="single"/>
          </w:rPr>
          <w:t>啟2:1–7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hyperlink r:id="rId28">
        <w:r>
          <w:rPr>
            <w:lang w:val="zh_TW" w:bidi="zh_TW"/>
          </w:rPr>
          <w:rPr>
            <w:color w:val="0000EE"/>
            <w:u w:val="single"/>
          </w:rPr>
          <w:t>徒5:41</w:t>
        </w:r>
      </w:hyperlink>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hyperlink r:id="rId29">
        <w:r>
          <w:rPr>
            <w:lang w:val="zh_TW" w:bidi="zh_TW"/>
          </w:rPr>
          <w:rPr>
            <w:color w:val="0000EE"/>
            <w:u w:val="single"/>
          </w:rPr>
          <w:t>太10:41–42</w:t>
        </w:r>
      </w:hyperlink>
      <w:r>
        <w:rPr>
          <w:lang w:val="zh_TW" w:bidi="zh_TW"/>
        </w:rPr>
        <w:t>；</w:t>
      </w:r>
      <w:hyperlink r:id="rId30">
        <w:r>
          <w:rPr>
            <w:lang w:val="zh_TW" w:bidi="zh_TW"/>
          </w:rPr>
          <w:rPr>
            <w:color w:val="0000EE"/>
            <w:u w:val="single"/>
          </w:rPr>
          <w:t>腓4:15–19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hyperlink r:id="rId31">
        <w:r>
          <w:rPr>
            <w:lang w:val="zh_TW" w:bidi="zh_TW"/>
          </w:rPr>
          <w:rPr>
            <w:color w:val="0000EE"/>
            <w:u w:val="single"/>
          </w:rPr>
          <w:t>提前3:6</w:t>
        </w:r>
      </w:hyperlink>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hyperlink r:id="rId32">
        <w:r>
          <w:rPr>
            <w:lang w:val="zh_TW" w:bidi="zh_TW"/>
          </w:rPr>
          <w:rPr>
            <w:color w:val="0000EE"/>
            <w:u w:val="single"/>
          </w:rPr>
          <w:t>約壹2:19，</w:t>
        </w:r>
      </w:hyperlink>
      <w:hyperlink r:id="rId33">
        <w:r>
          <w:rPr>
            <w:lang w:val="zh_TW" w:bidi="zh_TW"/>
          </w:rPr>
          <w:rPr>
            <w:color w:val="0000EE"/>
            <w:u w:val="single"/>
          </w:rPr>
          <w:t>4:5–6</w:t>
        </w:r>
      </w:hyperlink>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hyperlink r:id="rId34">
        <w:r>
          <w:rPr>
            <w:lang w:val="zh_TW" w:bidi="zh_TW"/>
          </w:rPr>
          <w:rPr>
            <w:color w:val="0000EE"/>
            <w:u w:val="single"/>
          </w:rPr>
          <w:t>約一3:10–14</w:t>
        </w:r>
      </w:hyperlink>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hyperlink r:id="rId23">
        <w:r>
          <w:rPr>
            <w:lang w:val="zh_TW" w:bidi="zh_TW"/>
          </w:rPr>
          <w:rPr>
            <w:color w:val="0000EE"/>
            <w:u w:val="single"/>
          </w:rPr>
          <w:t>1:3</w:t>
        </w:r>
      </w:hyperlink>
      <w:r>
        <w:rPr>
          <w:lang w:val="zh_TW" w:bidi="zh_TW"/>
        </w:rPr>
        <w:t>）。底米丟的名字出現在信的末尾，這暗示他就是把約翰的信帶給該猶之人（參</w:t>
      </w:r>
      <w:hyperlink r:id="rId35">
        <w:r>
          <w:rPr>
            <w:lang w:val="zh_TW" w:bidi="zh_TW"/>
          </w:rPr>
          <w:rPr>
            <w:color w:val="0000EE"/>
            <w:u w:val="single"/>
          </w:rPr>
          <w:t>西4:7–9；</w:t>
        </w:r>
      </w:hyperlink>
      <w:hyperlink r:id="rId36">
        <w:r>
          <w:rPr>
            <w:lang w:val="zh_TW" w:bidi="zh_TW"/>
          </w:rPr>
          <w:rPr>
            <w:color w:val="0000EE"/>
            <w:u w:val="single"/>
          </w:rPr>
          <w:t>彼前5:12</w:t>
        </w:r>
      </w:hyperlink>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hyperlink r:id="rId38">
        <w:r>
          <w:rPr>
            <w:lang w:val="zh_TW" w:bidi="zh_TW"/>
          </w:rPr>
          <w:rPr>
            <w:color w:val="0000EE"/>
            <w:u w:val="single"/>
          </w:rPr>
          <w:t>太10:12</w:t>
        </w:r>
      </w:hyperlink>
      <w:r>
        <w:rPr>
          <w:lang w:val="zh_TW" w:bidi="zh_TW"/>
        </w:rPr>
        <w:t>；</w:t>
      </w:r>
      <w:hyperlink r:id="rId39">
        <w:r>
          <w:rPr>
            <w:lang w:val="zh_TW" w:bidi="zh_TW"/>
          </w:rPr>
          <w:rPr>
            <w:color w:val="0000EE"/>
            <w:u w:val="single"/>
          </w:rPr>
          <w:t>路10:5–6</w:t>
        </w:r>
      </w:hyperlink>
      <w:r>
        <w:rPr>
          <w:lang w:val="zh_TW" w:bidi="zh_TW"/>
        </w:rPr>
        <w:t>），對基督徒來說它具有更深刻的含義，因為耶穌在復活後說了這句話（</w:t>
      </w:r>
      <w:hyperlink r:id="rId40">
        <w:r>
          <w:rPr>
            <w:lang w:val="zh_TW" w:bidi="zh_TW"/>
          </w:rPr>
          <w:rPr>
            <w:color w:val="0000EE"/>
            <w:u w:val="single"/>
          </w:rPr>
          <w:t>約20:19–21</w:t>
        </w:r>
      </w:hyperlink>
      <w:r>
        <w:rPr>
          <w:lang w:val="zh_TW" w:bidi="zh_TW"/>
        </w:rPr>
        <w:t>、</w:t>
      </w:r>
      <w:hyperlink r:id="rId4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hyperlink r:id="rId42">
        <w:r>
          <w:rPr>
            <w:lang w:val="zh_TW" w:bidi="zh_TW"/>
          </w:rPr>
          <w:rPr>
            <w:color w:val="0000EE"/>
            <w:u w:val="single"/>
          </w:rPr>
          <w:t>約三1:3–4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