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propre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Jean a confirmé ce point de vue (</w:t>
      </w:r>
      <w:hyperlink r:id="rId19">
        <w:r>
          <w:rPr>
            <w:lang w:val="fr_FR" w:bidi="fr_FR"/>
          </w:rPr>
          <w:rPr>
            <w:color w:val="0000EE"/>
            <w:u w:val="single"/>
          </w:rPr>
          <w:t>Jn 1.14</w:t>
        </w:r>
      </w:hyperlink>
      <w:r>
        <w:rPr>
          <w:lang w:val="fr_FR" w:bidi="fr_FR"/>
        </w:rPr>
        <w:t xml:space="preserve">). Ainsi, le </w:t>
      </w:r>
      <w:r>
        <w:rPr>
          <w:i/>
          <w:lang w:val="fr_FR" w:bidi="fr_FR"/>
        </w:rPr>
        <w:t>logos</w:t>
      </w:r>
      <w:r>
        <w:rPr>
          <w:lang w:val="fr_FR" w:bidi="fr_FR"/>
        </w:rPr>
        <w:t xml:space="preserve"> est la Parole de Dieu, par laquelle Dieu a tout créé, par laquelle il s'est révélé, et qui est devenue un être humain en Jésus-Christ. Plus tard, les enseignements chrétiens décrivent la Parole comme la seconde personne de la Trinité (qui partage entièrement la nature divine avec le Père et le Saint-Esprit).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Comme "le corps et le sang" était une expression juive utilisée pour désigner la personne entière, Jésus a appelé les personnes à pleinement se "nourrir de lui" en croyant entièrement en lui.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w:t>
      </w:r>
      <w:r>
        <w:rPr>
          <w:i/>
          <w:lang w:val="fr_FR" w:bidi="fr_FR"/>
        </w:rPr>
        <w:t>Fils de l'homme</w:t>
      </w:r>
      <w:r>
        <w:rPr>
          <w:lang w:val="fr_FR" w:bidi="fr_FR"/>
        </w:rPr>
        <w:t xml:space="preserv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L'expression grecque traduit une expression hébraïque et araméenne qui signifie « être humain ». Les contemporains de Jésus n'étaient pas sûrs de ce qu'il entendait par ce titre (voir </w:t>
      </w:r>
      <w:hyperlink r:id="rId402">
        <w:r>
          <w:rPr>
            <w:lang w:val="fr_FR" w:bidi="fr_FR"/>
          </w:rPr>
          <w:rPr>
            <w:color w:val="0000EE"/>
            <w:u w:val="single"/>
          </w:rPr>
          <w:t>12.34</w:t>
        </w:r>
      </w:hyperlink>
      <w:r>
        <w:rPr>
          <w:lang w:val="fr_FR" w:bidi="fr_FR"/>
        </w:rPr>
        <w:t xml:space="preserve">). Dans </w:t>
      </w:r>
      <w:hyperlink r:id="rId107">
        <w:r>
          <w:rPr>
            <w:lang w:val="fr_FR" w:bidi="fr_FR"/>
          </w:rPr>
          <w:rPr>
            <w:color w:val="0000EE"/>
            <w:u w:val="single"/>
          </w:rPr>
          <w:t>Daniel 7.13–14</w:t>
        </w:r>
      </w:hyperlink>
      <w:r>
        <w:rPr>
          <w:lang w:val="fr_FR" w:bidi="fr_FR"/>
        </w:rPr>
        <w:t xml:space="preserve">, un « fils de l'homme » reçoit l'autorité et un royaume éternel de la part de Dieu. La tradition juive qui a suivi a fait le lien entre ce « fils de l'homme » et le Messie tant espéré. Jean utilise le titre </w:t>
      </w:r>
      <w:r>
        <w:rPr>
          <w:i/>
          <w:lang w:val="fr_FR" w:bidi="fr_FR"/>
        </w:rPr>
        <w:t>Fils de l'homme</w:t>
      </w:r>
      <w:r>
        <w:rPr>
          <w:lang w:val="fr_FR" w:bidi="fr_FR"/>
        </w:rPr>
        <w:t xml:space="preserve"> pour signifier l'identité de Jésus à la fois en tant qu'être humain normal et en tant que Messie (Oint de Dieu).</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n'est pas mort en victime impuissante, sans défense devant des événements qui le dépassaient. Au contraire, il a délibérément décidé de donner sa vie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