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r>
        <w:rPr>
          <w:lang w:val="id_ID" w:bidi="id_ID"/>
        </w:rPr>
        <w:t>Kisah 19:29</w:t>
      </w:r>
      <w:r>
        <w:rPr>
          <w:lang w:val="id_ID" w:bidi="id_ID"/>
        </w:rPr>
        <w:t xml:space="preserve">; </w:t>
      </w:r>
      <w:r>
        <w:rPr>
          <w:lang w:val="id_ID" w:bidi="id_ID"/>
        </w:rPr>
        <w:t>20:4</w:t>
      </w:r>
      <w:r>
        <w:rPr>
          <w:lang w:val="id_ID" w:bidi="id_ID"/>
        </w:rPr>
        <w:t xml:space="preserve">; </w:t>
      </w:r>
      <w:r>
        <w:rPr>
          <w:lang w:val="id_ID" w:bidi="id_ID"/>
        </w:rPr>
        <w:t>Rm. 16:23</w:t>
      </w:r>
      <w:r>
        <w:rPr>
          <w:lang w:val="id_ID" w:bidi="id_ID"/>
        </w:rPr>
        <w:t xml:space="preserve">; </w:t>
      </w:r>
      <w:r>
        <w:rPr>
          <w:lang w:val="id_ID" w:bidi="id_ID"/>
        </w:rPr>
        <w:t>1Kor. 1:14</w:t>
      </w:r>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r>
        <w:rPr>
          <w:lang w:val="id_ID" w:bidi="id_ID"/>
        </w:rPr>
        <w:t>3Yoh. 1:5</w:t>
      </w:r>
      <w:r>
        <w:rPr>
          <w:lang w:val="id_ID" w:bidi="id_ID"/>
        </w:rPr>
        <w:t xml:space="preserve">, </w:t>
      </w:r>
      <w:r>
        <w:rPr>
          <w:lang w:val="id_ID" w:bidi="id_ID"/>
        </w:rPr>
        <w:t>10</w:t>
      </w:r>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r>
        <w:rPr>
          <w:lang w:val="id_ID" w:bidi="id_ID"/>
        </w:rPr>
        <w:t>1Yoh. 4:1–3</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r>
        <w:rPr>
          <w:lang w:val="id_ID" w:bidi="id_ID"/>
        </w:rPr>
        <w:t>2Yoh. 1:1–4</w:t>
      </w:r>
      <w:r>
        <w:rPr>
          <w:lang w:val="id_ID" w:bidi="id_ID"/>
        </w:rPr>
        <w:t>), penekanan Yohanes adalah pada mengetahui dan mengikuti kebenaran, berbeda dengan Diotrefes dan pengikutnya (</w:t>
      </w:r>
      <w:r>
        <w:rPr>
          <w:lang w:val="id_ID" w:bidi="id_ID"/>
        </w:rPr>
        <w:t>3Yoh. 1:9</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r>
        <w:rPr>
          <w:lang w:val="id_ID" w:bidi="id_ID"/>
        </w:rPr>
        <w:t>13 Yoh. 1:7–8</w:t>
      </w:r>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r>
        <w:rPr>
          <w:lang w:val="id_ID" w:bidi="id_ID"/>
        </w:rPr>
        <w:t>3Yoh. 1:3</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r>
        <w:rPr>
          <w:lang w:val="id_ID" w:bidi="id_ID"/>
        </w:rPr>
        <w:t>Kisah 18:19–19:41</w:t>
      </w:r>
      <w:r>
        <w:rPr>
          <w:lang w:val="id_ID" w:bidi="id_ID"/>
        </w:rPr>
        <w:t xml:space="preserve">; </w:t>
      </w:r>
      <w:r>
        <w:rPr>
          <w:lang w:val="id_ID" w:bidi="id_ID"/>
        </w:rPr>
        <w:t>1Tim. 1:3</w:t>
      </w:r>
      <w:r>
        <w:rPr>
          <w:lang w:val="id_ID" w:bidi="id_ID"/>
        </w:rPr>
        <w:t xml:space="preserve">; </w:t>
      </w:r>
      <w:r>
        <w:rPr>
          <w:lang w:val="id_ID" w:bidi="id_ID"/>
        </w:rPr>
        <w:t>1Ptr. 1:1</w:t>
      </w:r>
      <w:r>
        <w:rPr>
          <w:lang w:val="id_ID" w:bidi="id_ID"/>
        </w:rPr>
        <w:t xml:space="preserve">; </w:t>
      </w:r>
      <w:r>
        <w:rPr>
          <w:lang w:val="id_ID" w:bidi="id_ID"/>
        </w:rPr>
        <w:t>Why. 2:1–7</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r>
        <w:rPr>
          <w:lang w:val="id_ID" w:bidi="id_ID"/>
        </w:rPr>
        <w:t>Kisah 5:41</w:t>
      </w:r>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r>
        <w:rPr>
          <w:lang w:val="id_ID" w:bidi="id_ID"/>
        </w:rPr>
        <w:t>Mat. 10:41–42</w:t>
      </w:r>
      <w:r>
        <w:rPr>
          <w:lang w:val="id_ID" w:bidi="id_ID"/>
        </w:rPr>
        <w:t xml:space="preserve">; </w:t>
      </w:r>
      <w:r>
        <w:rPr>
          <w:lang w:val="id_ID" w:bidi="id_ID"/>
        </w:rPr>
        <w:t>Flp. 4:15–19</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r>
        <w:rPr>
          <w:lang w:val="id_ID" w:bidi="id_ID"/>
        </w:rPr>
        <w:t>1Tim. 3:6</w:t>
      </w:r>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r>
        <w:rPr>
          <w:lang w:val="id_ID" w:bidi="id_ID"/>
        </w:rPr>
        <w:t>1Yoh. 2:19</w:t>
      </w:r>
      <w:r>
        <w:rPr>
          <w:lang w:val="id_ID" w:bidi="id_ID"/>
        </w:rPr>
        <w:t xml:space="preserve">; </w:t>
      </w:r>
      <w:r>
        <w:rPr>
          <w:lang w:val="id_ID" w:bidi="id_ID"/>
        </w:rPr>
        <w:t>4:5–6</w:t>
      </w:r>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r>
        <w:rPr>
          <w:lang w:val="id_ID" w:bidi="id_ID"/>
        </w:rPr>
        <w:t>1Yoh. 3:10–14</w:t>
      </w:r>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r>
        <w:rPr>
          <w:lang w:val="id_ID" w:bidi="id_ID"/>
        </w:rPr>
        <w:t>3 Yoh. 1:3</w:t>
      </w:r>
      <w:r>
        <w:rPr>
          <w:lang w:val="id_ID" w:bidi="id_ID"/>
        </w:rPr>
        <w:t xml:space="preserve">). Penempatan nama Demetrius di akhir surat menunjukkan bahwa dialah yang membawa surat Yohanes kepada Gayus (bdk. </w:t>
      </w:r>
      <w:r>
        <w:rPr>
          <w:lang w:val="id_ID" w:bidi="id_ID"/>
        </w:rPr>
        <w:t>Kol. 4:7–9</w:t>
      </w:r>
      <w:r>
        <w:rPr>
          <w:lang w:val="id_ID" w:bidi="id_ID"/>
        </w:rPr>
        <w:t xml:space="preserve">; </w:t>
      </w:r>
      <w:r>
        <w:rPr>
          <w:lang w:val="id_ID" w:bidi="id_ID"/>
        </w:rPr>
        <w:t>1Ptr. 5:12</w:t>
      </w:r>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r>
        <w:rPr>
          <w:lang w:val="id_ID" w:bidi="id_ID"/>
        </w:rPr>
        <w:t>2Yoh. 1:12</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r>
        <w:rPr>
          <w:lang w:val="id_ID" w:bidi="id_ID"/>
        </w:rPr>
        <w:t>2Yoh. 1:12</w:t>
      </w:r>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r>
        <w:rPr>
          <w:lang w:val="id_ID" w:bidi="id_ID"/>
        </w:rPr>
        <w:t>Mat. 10:12</w:t>
      </w:r>
      <w:r>
        <w:rPr>
          <w:lang w:val="id_ID" w:bidi="id_ID"/>
        </w:rPr>
        <w:t xml:space="preserve">; </w:t>
      </w:r>
      <w:r>
        <w:rPr>
          <w:lang w:val="id_ID" w:bidi="id_ID"/>
        </w:rPr>
        <w:t>Luk. 10:5–6</w:t>
      </w:r>
      <w:r>
        <w:rPr>
          <w:lang w:val="id_ID" w:bidi="id_ID"/>
        </w:rPr>
        <w:t>), yang memiliki makna lebih mendalam bagi orang Kristen karena Yesus menggunakannya setelah kebangkitan-Nya (</w:t>
      </w:r>
      <w:r>
        <w:rPr>
          <w:lang w:val="id_ID" w:bidi="id_ID"/>
        </w:rPr>
        <w:t>Yoh. 20:19–21</w:t>
      </w:r>
      <w:r>
        <w:rPr>
          <w:lang w:val="id_ID" w:bidi="id_ID"/>
        </w:rPr>
        <w:t xml:space="preserve">, </w:t>
      </w:r>
      <w:r>
        <w:rPr>
          <w:lang w:val="id_ID" w:bidi="id_ID"/>
        </w:rPr>
        <w:t>26</w:t>
      </w:r>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r>
        <w:rPr>
          <w:lang w:val="id_ID" w:bidi="id_ID"/>
        </w:rPr>
        <w:t>3Yoh. 1:3–4</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