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1.1, Rute 1.2, Rute 1.4, Rute 1.5, Rute 1.6, Rute 1.8, Rute 1.9, Rute 1.14, Rute 1.15, Rute 1.16–17, Rute 1.20, Rute 1.22, Rute 2.1, Rute 2.2, Rute 2.3, Rute 2.5, Rute 2.7, Rute 2.8–9, Rute 2.13, Rute 2.14, Rute 2.15–16, Rute 2.18, Rute 2.19, Rute 2.20, Rute 2.21, Rute 3.1, Rute 3.2, Rute 3.3, Rute 3.4, Rute 3.7, Rute 3.8, Rute 3.9, Rute 3.10, Rute 3.11, Rute 3.12–13, Rute 3.15, Rute 4.1, Rute 4.3, Rute 4.4, Rute 4.5, Rute 4.6, Rute 4.7, Rute 4.10, Rute 4.11, Rute 4.12, Rute 4.13, Rute 4.14, Rute 4.15, Rute 4.18–22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hyperlink r:id="rId15">
        <w:r>
          <w:rPr>
            <w:lang w:val="pt_PT" w:bidi="pt_PT"/>
          </w:rPr>
          <w:rPr>
            <w:color w:val="0000EE"/>
            <w:u w:val="single"/>
          </w:rPr>
          <w:t>Gn 35.19</w:t>
        </w:r>
      </w:hyperlink>
      <w:r>
        <w:rPr>
          <w:lang w:val="pt_PT" w:bidi="pt_PT"/>
        </w:rPr>
        <w:t xml:space="preserve">; </w:t>
      </w:r>
      <w:hyperlink r:id="rId16">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hyperlink r:id="rId17">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hyperlink r:id="rId18">
        <w:r>
          <w:rPr>
            <w:lang w:val="pt_PT" w:bidi="pt_PT"/>
          </w:rPr>
          <w:rPr>
            <w:color w:val="0000EE"/>
            <w:u w:val="single"/>
          </w:rPr>
          <w:t>4.13</w:t>
        </w:r>
      </w:hyperlink>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hyperlink r:id="rId19">
        <w:r>
          <w:rPr>
            <w:lang w:val="pt_PT" w:bidi="pt_PT"/>
          </w:rPr>
          <w:rPr>
            <w:color w:val="0000EE"/>
            <w:u w:val="single"/>
          </w:rPr>
          <w:t>Gn 2.24</w:t>
        </w:r>
      </w:hyperlink>
      <w:r>
        <w:rPr>
          <w:lang w:val="pt_PT" w:bidi="pt_PT"/>
        </w:rPr>
        <w:t>) e para descrever uma pessoa permanecendo fiel ao Senhor (</w:t>
      </w:r>
      <w:hyperlink r:id="rId20">
        <w:r>
          <w:rPr>
            <w:lang w:val="pt_PT" w:bidi="pt_PT"/>
          </w:rPr>
          <w:rPr>
            <w:color w:val="0000EE"/>
            <w:u w:val="single"/>
          </w:rPr>
          <w:t>Dt 4.4</w:t>
        </w:r>
      </w:hyperlink>
      <w:r>
        <w:rPr>
          <w:lang w:val="pt_PT" w:bidi="pt_PT"/>
        </w:rPr>
        <w:t xml:space="preserve">; </w:t>
      </w:r>
      <w:hyperlink r:id="rId21">
        <w:r>
          <w:rPr>
            <w:lang w:val="pt_PT" w:bidi="pt_PT"/>
          </w:rPr>
          <w:rPr>
            <w:color w:val="0000EE"/>
            <w:u w:val="single"/>
          </w:rPr>
          <w:t>10.20</w:t>
        </w:r>
      </w:hyperlink>
      <w:r>
        <w:rPr>
          <w:lang w:val="pt_PT" w:bidi="pt_PT"/>
        </w:rPr>
        <w:t xml:space="preserve">; </w:t>
      </w:r>
      <w:hyperlink r:id="rId22">
        <w:r>
          <w:rPr>
            <w:lang w:val="pt_PT" w:bidi="pt_PT"/>
          </w:rPr>
          <w:rPr>
            <w:color w:val="0000EE"/>
            <w:u w:val="single"/>
          </w:rPr>
          <w:t>Js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hyperlink r:id="rId23">
        <w:r>
          <w:rPr>
            <w:lang w:val="pt_PT" w:bidi="pt_PT"/>
          </w:rPr>
          <w:rPr>
            <w:color w:val="0000EE"/>
            <w:u w:val="single"/>
          </w:rPr>
          <w:t>2.11–12</w:t>
        </w:r>
      </w:hyperlink>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hyperlink r:id="rId24">
        <w:r>
          <w:rPr>
            <w:lang w:val="pt_PT" w:bidi="pt_PT"/>
          </w:rPr>
          <w:rPr>
            <w:color w:val="0000EE"/>
            <w:u w:val="single"/>
          </w:rPr>
          <w:t>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hyperlink r:id="rId25">
        <w:r>
          <w:rPr>
            <w:lang w:val="pt_PT" w:bidi="pt_PT"/>
          </w:rPr>
          <w:rPr>
            <w:color w:val="0000EE"/>
            <w:u w:val="single"/>
          </w:rPr>
          <w:t>Lv 19.9–10</w:t>
        </w:r>
      </w:hyperlink>
      <w:r>
        <w:rPr>
          <w:lang w:val="pt_PT" w:bidi="pt_PT"/>
        </w:rPr>
        <w:t xml:space="preserve">; </w:t>
      </w:r>
      <w:hyperlink r:id="rId26">
        <w:r>
          <w:rPr>
            <w:lang w:val="pt_PT" w:bidi="pt_PT"/>
          </w:rPr>
          <w:rPr>
            <w:color w:val="0000EE"/>
            <w:u w:val="single"/>
          </w:rPr>
          <w:t>23.22</w:t>
        </w:r>
      </w:hyperlink>
      <w:r>
        <w:rPr>
          <w:lang w:val="pt_PT" w:bidi="pt_PT"/>
        </w:rPr>
        <w:t xml:space="preserve">; </w:t>
      </w:r>
      <w:hyperlink r:id="rId27">
        <w:r>
          <w:rPr>
            <w:lang w:val="pt_PT" w:bidi="pt_PT"/>
          </w:rPr>
          <w:rPr>
            <w:color w:val="0000EE"/>
            <w:u w:val="single"/>
          </w:rPr>
          <w:t>Dt 24.19–22</w:t>
        </w:r>
      </w:hyperlink>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hyperlink r:id="rId28">
        <w:r>
          <w:rPr>
            <w:lang w:val="pt_PT" w:bidi="pt_PT"/>
          </w:rPr>
          <w:rPr>
            <w:color w:val="0000EE"/>
            <w:u w:val="single"/>
          </w:rPr>
          <w:t>1.22</w:t>
        </w:r>
      </w:hyperlink>
      <w:r>
        <w:rPr>
          <w:lang w:val="pt_PT" w:bidi="pt_PT"/>
        </w:rPr>
        <w:t xml:space="preserve">; </w:t>
      </w:r>
      <w:hyperlink r:id="rId29">
        <w:r>
          <w:rPr>
            <w:lang w:val="pt_PT" w:bidi="pt_PT"/>
          </w:rPr>
          <w:rPr>
            <w:color w:val="0000EE"/>
            <w:u w:val="single"/>
          </w:rPr>
          <w:t>2.2</w:t>
        </w:r>
      </w:hyperlink>
      <w:r>
        <w:rPr>
          <w:lang w:val="pt_PT" w:bidi="pt_PT"/>
        </w:rPr>
        <w:t>,</w:t>
      </w:r>
      <w:hyperlink r:id="rId30">
        <w:r>
          <w:rPr>
            <w:lang w:val="pt_PT" w:bidi="pt_PT"/>
          </w:rPr>
          <w:rPr>
            <w:color w:val="0000EE"/>
            <w:u w:val="single"/>
          </w:rPr>
          <w:t>21</w:t>
        </w:r>
      </w:hyperlink>
      <w:r>
        <w:rPr>
          <w:lang w:val="pt_PT" w:bidi="pt_PT"/>
        </w:rPr>
        <w:t xml:space="preserve">; </w:t>
      </w:r>
      <w:hyperlink r:id="rId31">
        <w:r>
          <w:rPr>
            <w:lang w:val="pt_PT" w:bidi="pt_PT"/>
          </w:rPr>
          <w:rPr>
            <w:color w:val="0000EE"/>
            <w:u w:val="single"/>
          </w:rPr>
          <w:t>4.5</w:t>
        </w:r>
      </w:hyperlink>
      <w:r>
        <w:rPr>
          <w:lang w:val="pt_PT" w:bidi="pt_PT"/>
        </w:rPr>
        <w:t>,1</w:t>
      </w:r>
      <w:hyperlink r:id="rId17">
        <w:r>
          <w:rPr>
            <w:lang w:val="pt_PT" w:bidi="pt_PT"/>
          </w:rPr>
          <w:rPr>
            <w:color w:val="0000EE"/>
            <w:u w:val="single"/>
          </w:rPr>
          <w:t>0</w:t>
        </w:r>
      </w:hyperlink>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hyperlink r:id="rId32">
        <w:r>
          <w:rPr>
            <w:lang w:val="pt_PT" w:bidi="pt_PT"/>
          </w:rPr>
          <w:rPr>
            <w:color w:val="0000EE"/>
            <w:u w:val="single"/>
          </w:rPr>
          <w:t>1.9</w:t>
        </w:r>
      </w:hyperlink>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hyperlink r:id="rId33">
        <w:r>
          <w:rPr>
            <w:lang w:val="pt_PT" w:bidi="pt_PT"/>
          </w:rPr>
          <w:rPr>
            <w:color w:val="0000EE"/>
            <w:u w:val="single"/>
          </w:rPr>
          <w:t>Ez 16.8</w:t>
        </w:r>
      </w:hyperlink>
      <w:r>
        <w:rPr>
          <w:lang w:val="pt_PT" w:bidi="pt_PT"/>
        </w:rPr>
        <w:t xml:space="preserve">). • Rute apelou ao status de Boaz como redentor da família (hebraico go’el) para persuadi-lo a se casar com ela (veja </w:t>
      </w:r>
      <w:hyperlink r:id="rId31">
        <w:r>
          <w:rPr>
            <w:lang w:val="pt_PT" w:bidi="pt_PT"/>
          </w:rPr>
          <w:rPr>
            <w:color w:val="0000EE"/>
            <w:u w:val="single"/>
          </w:rPr>
          <w:t>Rt 4.5</w:t>
        </w:r>
      </w:hyperlink>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hyperlink r:id="rId3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hyperlink r:id="rId34">
        <w:r>
          <w:rPr>
            <w:lang w:val="pt_PT" w:bidi="pt_PT"/>
          </w:rPr>
          <w:rPr>
            <w:color w:val="0000EE"/>
            <w:u w:val="single"/>
          </w:rPr>
          <w:t>4.1–12</w:t>
        </w:r>
      </w:hyperlink>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hyperlink r:id="rId35">
        <w:r>
          <w:rPr>
            <w:lang w:val="pt_PT" w:bidi="pt_PT"/>
          </w:rPr>
          <w:rPr>
            <w:color w:val="0000EE"/>
            <w:u w:val="single"/>
          </w:rPr>
          <w:t>2.17</w:t>
        </w:r>
      </w:hyperlink>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hyperlink r:id="rId36">
        <w:r>
          <w:rPr>
            <w:lang w:val="pt_PT" w:bidi="pt_PT"/>
          </w:rPr>
          <w:rPr>
            <w:color w:val="0000EE"/>
            <w:u w:val="single"/>
          </w:rPr>
          <w:t>Lv 25.23–34</w:t>
        </w:r>
      </w:hyperlink>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hyperlink r:id="rId17">
        <w:r>
          <w:rPr>
            <w:lang w:val="pt_PT" w:bidi="pt_PT"/>
          </w:rPr>
          <w:rPr>
            <w:color w:val="0000EE"/>
            <w:u w:val="single"/>
          </w:rPr>
          <w:t xml:space="preserve">4.10 </w:t>
        </w:r>
      </w:hyperlink>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hyperlink r:id="rId37">
        <w:r>
          <w:rPr>
            <w:lang w:val="pt_PT" w:bidi="pt_PT"/>
          </w:rPr>
          <w:rPr>
            <w:color w:val="0000EE"/>
            <w:u w:val="single"/>
          </w:rPr>
          <w:t>Dt 25.7</w:t>
        </w:r>
      </w:hyperlink>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hyperlink r:id="rId38">
        <w:r>
          <w:rPr>
            <w:lang w:val="pt_PT" w:bidi="pt_PT"/>
          </w:rPr>
          <w:rPr>
            <w:color w:val="0000EE"/>
            <w:u w:val="single"/>
          </w:rPr>
          <w:t>Dt 25.5–10</w:t>
        </w:r>
      </w:hyperlink>
      <w:r>
        <w:rPr>
          <w:lang w:val="pt_PT" w:bidi="pt_PT"/>
        </w:rPr>
        <w:t xml:space="preserve"> para uma descrição do </w:t>
      </w:r>
      <w:r>
        <w:rPr>
          <w:i/>
          <w:lang w:val="pt_PT" w:bidi="pt_PT"/>
        </w:rPr>
        <w:t>casamento levirato;</w:t>
      </w:r>
      <w:r>
        <w:rPr>
          <w:lang w:val="pt_PT" w:bidi="pt_PT"/>
        </w:rPr>
        <w:t xml:space="preserve"> cf. </w:t>
      </w:r>
      <w:hyperlink r:id="rId39">
        <w:r>
          <w:rPr>
            <w:lang w:val="pt_PT" w:bidi="pt_PT"/>
          </w:rPr>
          <w:rPr>
            <w:color w:val="0000EE"/>
            <w:u w:val="single"/>
          </w:rPr>
          <w:t>Gn 38</w:t>
        </w:r>
      </w:hyperlink>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hyperlink r:id="rId38">
        <w:r>
          <w:rPr>
            <w:lang w:val="pt_PT" w:bidi="pt_PT"/>
          </w:rPr>
          <w:rPr>
            <w:color w:val="0000EE"/>
            <w:u w:val="single"/>
          </w:rPr>
          <w:t>Dt 25.5–10</w:t>
        </w:r>
      </w:hyperlink>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hyperlink r:id="rId40">
        <w:r>
          <w:rPr>
            <w:lang w:val="pt_PT" w:bidi="pt_PT"/>
          </w:rPr>
          <w:rPr>
            <w:color w:val="0000EE"/>
            <w:u w:val="single"/>
          </w:rPr>
          <w:t>Nm 27.1–11</w:t>
        </w:r>
      </w:hyperlink>
      <w:r>
        <w:rPr>
          <w:lang w:val="pt_PT" w:bidi="pt_PT"/>
        </w:rPr>
        <w:t>). Como Noemi estava além da idade fértil, Rute, a viúva do filho de Elimeleque, seria a mãe de tal herdeiro. Esta manobra aparentemente surpreendeu o outro parente (</w:t>
      </w:r>
      <w:hyperlink r:id="rId41">
        <w:r>
          <w:rPr>
            <w:lang w:val="pt_PT" w:bidi="pt_PT"/>
          </w:rPr>
          <w:rPr>
            <w:color w:val="0000EE"/>
            <w:u w:val="single"/>
          </w:rPr>
          <w:t>Rt 4.6</w:t>
        </w:r>
      </w:hyperlink>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hyperlink r:id="rId42">
        <w:r>
          <w:rPr>
            <w:lang w:val="pt_PT" w:bidi="pt_PT"/>
          </w:rPr>
          <w:rPr>
            <w:color w:val="0000EE"/>
            <w:u w:val="single"/>
          </w:rPr>
          <w:t>Dt 25.9</w:t>
        </w:r>
      </w:hyperlink>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hyperlink r:id="rId43">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