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Matthew 16:17–18</w:t>
        </w:r>
      </w:hyperlink>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hyperlink r:id="rId14">
        <w:r>
          <w:rPr>
            <w:lang w:val="en_US" w:bidi="en_US"/>
          </w:rPr>
          <w:rPr>
            <w:color w:val="0000EE"/>
            <w:u w:val="single"/>
          </w:rPr>
          <w:t>Joshua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Kings 10:10</w:t>
        </w:r>
      </w:hyperlink>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hyperlink r:id="rId17">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Romans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Hebrews 1:8</w:t>
        </w:r>
      </w:hyperlink>
      <w:r>
        <w:rPr>
          <w:lang w:val="en_US" w:bidi="en_US"/>
        </w:rPr>
        <w:t xml:space="preserve">; </w:t>
      </w:r>
      <w:hyperlink r:id="rId23">
        <w:r>
          <w:rPr>
            <w:lang w:val="en_US" w:bidi="en_US"/>
          </w:rPr>
          <w:rPr>
            <w:color w:val="0000EE"/>
            <w:u w:val="single"/>
          </w:rPr>
          <w:t>1 John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hyperlink r:id="rId25">
        <w:r>
          <w:rPr>
            <w:lang w:val="en_US" w:bidi="en_US"/>
          </w:rPr>
          <w:rPr>
            <w:color w:val="0000EE"/>
            <w:u w:val="single"/>
          </w:rPr>
          <w:t>1:3–4</w:t>
        </w:r>
      </w:hyperlink>
      <w:r>
        <w:rPr>
          <w:lang w:val="en_US" w:bidi="en_US"/>
        </w:rPr>
        <w:t>). This provides a strong reason to encourage us to learn more about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hyperlink r:id="rId27">
        <w:r>
          <w:rPr>
            <w:lang w:val="en_US" w:bidi="en_US"/>
          </w:rPr>
          <w:rPr>
            <w:color w:val="0000EE"/>
            <w:u w:val="single"/>
          </w:rPr>
          <w:t>Leviticus 11:44</w:t>
        </w:r>
      </w:hyperlink>
      <w:r>
        <w:rPr>
          <w:lang w:val="en_US" w:bidi="en_US"/>
        </w:rPr>
        <w:t xml:space="preserve">; </w:t>
      </w:r>
      <w:hyperlink r:id="rId28">
        <w:r>
          <w:rPr>
            <w:lang w:val="en_US" w:bidi="en_US"/>
          </w:rPr>
          <w:rPr>
            <w:color w:val="0000EE"/>
            <w:u w:val="single"/>
          </w:rPr>
          <w:t>Matthew 5:43–48</w:t>
        </w:r>
      </w:hyperlink>
      <w:r>
        <w:rPr>
          <w:lang w:val="en_US" w:bidi="en_US"/>
        </w:rPr>
        <w:t xml:space="preserve">; </w:t>
      </w:r>
      <w:hyperlink r:id="rId29">
        <w:r>
          <w:rPr>
            <w:lang w:val="en_US" w:bidi="en_US"/>
          </w:rPr>
          <w:rPr>
            <w:color w:val="0000EE"/>
            <w:u w:val="single"/>
          </w:rPr>
          <w:t>Ephesians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hyperlink r:id="rId32">
        <w:r>
          <w:rPr>
            <w:lang w:val="en_US" w:bidi="en_US"/>
          </w:rPr>
          <w:rPr>
            <w:color w:val="0000EE"/>
            <w:u w:val="single"/>
          </w:rPr>
          <w:t>Deuteronomy 31–33</w:t>
        </w:r>
      </w:hyperlink>
      <w:r>
        <w:rPr>
          <w:lang w:val="en_US" w:bidi="en_US"/>
        </w:rPr>
        <w:t xml:space="preserve">; </w:t>
      </w:r>
      <w:hyperlink r:id="rId33">
        <w:r>
          <w:rPr>
            <w:lang w:val="en_US" w:bidi="en_US"/>
          </w:rPr>
          <w:rPr>
            <w:color w:val="0000EE"/>
            <w:u w:val="single"/>
          </w:rPr>
          <w:t>Joshua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hyperlink r:id="rId35">
        <w:r>
          <w:rPr>
            <w:lang w:val="en_US" w:bidi="en_US"/>
          </w:rPr>
          <w:rPr>
            <w:color w:val="0000EE"/>
            <w:u w:val="single"/>
          </w:rPr>
          <w:t>Matthew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hyperlink r:id="rId38">
        <w:r>
          <w:rPr>
            <w:lang w:val="en_US" w:bidi="en_US"/>
          </w:rPr>
          <w:rPr>
            <w:color w:val="0000EE"/>
            <w:u w:val="single"/>
          </w:rPr>
          <w:t xml:space="preserve">2 </w:t>
        </w:r>
      </w:hyperlink>
      <w:r>
        <w:rPr>
          <w:lang w:val="en_US" w:bidi="en_US"/>
        </w:rPr>
        <w:t xml:space="preserve">is surrounded by his teaching about the certainty of the return of Jesus (see also </w:t>
      </w:r>
      <w:hyperlink r:id="rId39">
        <w:r>
          <w:rPr>
            <w:lang w:val="en_US" w:bidi="en_US"/>
          </w:rPr>
          <w:rPr>
            <w:color w:val="0000EE"/>
            <w:u w:val="single"/>
          </w:rPr>
          <w:t>3:1–13</w:t>
        </w:r>
      </w:hyperlink>
      <w:r>
        <w:rPr>
          <w:lang w:val="en_US" w:bidi="en_US"/>
        </w:rPr>
        <w:t>). The false teachers were probably denying that Christ would truly return and judge the world. But Peter had seen Christ’s glory with his own eyes (</w:t>
      </w:r>
      <w:hyperlink r:id="rId40">
        <w:r>
          <w:rPr>
            <w:lang w:val="en_US" w:bidi="en_US"/>
          </w:rPr>
          <w:rPr>
            <w:color w:val="0000EE"/>
            <w:u w:val="single"/>
          </w:rPr>
          <w:t>1:16–18</w:t>
        </w:r>
      </w:hyperlink>
      <w:r>
        <w:rPr>
          <w:lang w:val="en_US" w:bidi="en_US"/>
        </w:rPr>
        <w:t>), and the words of Scripture are completely reliable (</w:t>
      </w:r>
      <w:hyperlink r:id="rId41">
        <w:r>
          <w:rPr>
            <w:lang w:val="en_US" w:bidi="en_US"/>
          </w:rPr>
          <w:rPr>
            <w:color w:val="0000EE"/>
            <w:u w:val="single"/>
          </w:rPr>
          <w:t>1:19–21</w:t>
        </w:r>
      </w:hyperlink>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w:t>
      </w:r>
      <w:r>
        <w:rPr>
          <w:i/>
          <w:lang w:val="en_US" w:bidi="en_US"/>
        </w:rPr>
        <w:t>the day of the Lord.</w:t>
      </w:r>
      <w:r>
        <w:rPr>
          <w:lang w:val="en_US" w:bidi="en_US"/>
        </w:rPr>
        <w:t xml:space="preserve"> This is a time when God acts in history to save his people and judge his enemies (see </w:t>
      </w:r>
      <w:hyperlink r:id="rId42">
        <w:r>
          <w:rPr>
            <w:lang w:val="en_US" w:bidi="en_US"/>
          </w:rPr>
          <w:rPr>
            <w:color w:val="0000EE"/>
            <w:u w:val="single"/>
          </w:rPr>
          <w:t>Isaiah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Zephaniah 2:1–3</w:t>
        </w:r>
      </w:hyperlink>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hyperlink r:id="rId45">
        <w:r>
          <w:rPr>
            <w:lang w:val="en_US" w:bidi="en_US"/>
          </w:rPr>
          <w:rPr>
            <w:color w:val="0000EE"/>
            <w:u w:val="single"/>
          </w:rPr>
          <w:t>2:1–3</w:t>
        </w:r>
      </w:hyperlink>
      <w:r>
        <w:rPr>
          <w:lang w:val="en_US" w:bidi="en_US"/>
        </w:rPr>
        <w:t>, but this does not mean that false prophets had not yet appeared. Instead, he is recalling the prophecy Jesus made that false teachers would arise (</w:t>
      </w:r>
      <w:hyperlink r:id="rId46">
        <w:r>
          <w:rPr>
            <w:lang w:val="en_US" w:bidi="en_US"/>
          </w:rPr>
          <w:rPr>
            <w:color w:val="0000EE"/>
            <w:u w:val="single"/>
          </w:rPr>
          <w:t>Matthew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compare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Timothy 3:1–6</w:t>
        </w:r>
      </w:hyperlink>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hyperlink r:id="rId52">
        <w:r>
          <w:rPr>
            <w:lang w:val="en_US" w:bidi="en_US"/>
          </w:rPr>
          <w:rPr>
            <w:color w:val="0000EE"/>
            <w:u w:val="single"/>
          </w:rPr>
          <w:t>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hyperlink r:id="rId53">
        <w:r>
          <w:rPr>
            <w:lang w:val="en_US" w:bidi="en_US"/>
          </w:rPr>
          <w:rPr>
            <w:color w:val="0000EE"/>
            <w:u w:val="single"/>
          </w:rPr>
          <w:t>Genesis 6:1–5</w:t>
        </w:r>
      </w:hyperlink>
      <w:r>
        <w:rPr>
          <w:lang w:val="en_US" w:bidi="en_US"/>
        </w:rPr>
        <w:t xml:space="preserve"> (understood as angels) had sexual relations with women. As a result, God judged them at that time (see 1 Enoch 6–10; compare </w:t>
      </w:r>
      <w:hyperlink r:id="rId54">
        <w:r>
          <w:rPr>
            <w:lang w:val="en_US" w:bidi="en_US"/>
          </w:rPr>
          <w:rPr>
            <w:color w:val="0000EE"/>
            <w:u w:val="single"/>
          </w:rPr>
          <w:t>1 Peter 3:19–20</w:t>
        </w:r>
      </w:hyperlink>
      <w:r>
        <w:rPr>
          <w:lang w:val="en_US" w:bidi="en_US"/>
        </w:rPr>
        <w:t xml:space="preserve">; </w:t>
      </w:r>
      <w:hyperlink r:id="rId55">
        <w:r>
          <w:rPr>
            <w:lang w:val="en_US" w:bidi="en_US"/>
          </w:rPr>
          <w:rPr>
            <w:color w:val="0000EE"/>
            <w:u w:val="single"/>
          </w:rPr>
          <w:t>Jude 1:6</w:t>
        </w:r>
      </w:hyperlink>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hyperlink r:id="rId57">
        <w:r>
          <w:rPr>
            <w:lang w:val="en_US" w:bidi="en_US"/>
          </w:rPr>
          <w:rPr>
            <w:color w:val="0000EE"/>
            <w:u w:val="single"/>
          </w:rPr>
          <w:t>Genesis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hyperlink r:id="rId58">
        <w:r>
          <w:rPr>
            <w:lang w:val="en_US" w:bidi="en_US"/>
          </w:rPr>
          <w:rPr>
            <w:color w:val="0000EE"/>
            <w:u w:val="single"/>
          </w:rPr>
          <w:t>Genesis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2:7</w:t>
        </w:r>
      </w:hyperlink>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hyperlink r:id="rId6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hyperlink r:id="rId62">
        <w:r>
          <w:rPr>
            <w:lang w:val="en_US" w:bidi="en_US"/>
          </w:rPr>
          <w:rPr>
            <w:color w:val="0000EE"/>
            <w:u w:val="single"/>
          </w:rPr>
          <w:t>2:11</w:t>
        </w:r>
      </w:hyperlink>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hyperlink r:id="rId63">
        <w:r>
          <w:rPr>
            <w:lang w:val="en_US" w:bidi="en_US"/>
          </w:rPr>
          <w:rPr>
            <w:color w:val="0000EE"/>
            <w:u w:val="single"/>
          </w:rPr>
          <w:t>Jude 1:12</w:t>
        </w:r>
      </w:hyperlink>
      <w:r>
        <w:rPr>
          <w:lang w:val="en_US" w:bidi="en_US"/>
        </w:rPr>
        <w:t xml:space="preserve">. Early Christians often shared fellowship meals to honor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hyperlink r:id="rId66">
        <w:r>
          <w:rPr>
            <w:lang w:val="en_US" w:bidi="en_US"/>
          </w:rPr>
          <w:rPr>
            <w:color w:val="0000EE"/>
            <w:u w:val="single"/>
          </w:rPr>
          <w:t>1 Corinthians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hyperlink r:id="rId67">
        <w:r>
          <w:rPr>
            <w:lang w:val="en_US" w:bidi="en_US"/>
          </w:rPr>
          <w:rPr>
            <w:color w:val="0000EE"/>
            <w:u w:val="single"/>
          </w:rPr>
          <w:t>Numbers 22–24</w:t>
        </w:r>
      </w:hyperlink>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hyperlink r:id="rId68">
        <w:r>
          <w:rPr>
            <w:lang w:val="en_US" w:bidi="en_US"/>
          </w:rPr>
          <w:rPr>
            <w:color w:val="0000EE"/>
            <w:u w:val="single"/>
          </w:rPr>
          <w:t>Romans 6:16</w:t>
        </w:r>
      </w:hyperlink>
      <w:r>
        <w:rPr>
          <w:lang w:val="en_US" w:bidi="en_US"/>
        </w:rPr>
        <w:t xml:space="preserve">). The false teachers celebrated what they thought was freedom (see </w:t>
      </w:r>
      <w:hyperlink r:id="rId69">
        <w:r>
          <w:rPr>
            <w:lang w:val="en_US" w:bidi="en_US"/>
          </w:rPr>
          <w:rPr>
            <w:color w:val="0000EE"/>
            <w:u w:val="single"/>
          </w:rPr>
          <w:t>2 Peter 2:10</w:t>
        </w:r>
      </w:hyperlink>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Hebrews 1:2</w:t>
        </w:r>
      </w:hyperlink>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hyperlink r:id="rId72">
        <w:r>
          <w:rPr>
            <w:lang w:val="en_US" w:bidi="en_US"/>
          </w:rPr>
          <w:rPr>
            <w:color w:val="0000EE"/>
            <w:u w:val="single"/>
          </w:rPr>
          <w:t>Proverbs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hyperlink r:id="rId75">
        <w:r>
          <w:rPr>
            <w:lang w:val="en_US" w:bidi="en_US"/>
          </w:rPr>
          <w:rPr>
            <w:color w:val="0000EE"/>
            <w:u w:val="single"/>
          </w:rPr>
          <w:t>Genesis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hyperlink r:id="rId77">
        <w:r>
          <w:rPr>
            <w:lang w:val="en_US" w:bidi="en_US"/>
          </w:rPr>
          <w:rPr>
            <w:color w:val="0000EE"/>
            <w:u w:val="single"/>
          </w:rPr>
          <w:t>Isaiah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hyperlink r:id="rId79">
        <w:r>
          <w:rPr>
            <w:lang w:val="en_US" w:bidi="en_US"/>
          </w:rPr>
          <w:rPr>
            <w:color w:val="0000EE"/>
            <w:u w:val="single"/>
          </w:rPr>
          <w:t>Psalm 90:4</w:t>
        </w:r>
      </w:hyperlink>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hyperlink r:id="rId80">
        <w:r>
          <w:rPr>
            <w:lang w:val="en_US" w:bidi="en_US"/>
          </w:rPr>
          <w:rPr>
            <w:color w:val="0000EE"/>
            <w:u w:val="single"/>
          </w:rPr>
          <w:t>Acts 3:19–20</w:t>
        </w:r>
      </w:hyperlink>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hyperlink r:id="rId81">
        <w:r>
          <w:rPr>
            <w:lang w:val="en_US" w:bidi="en_US"/>
          </w:rPr>
          <w:rPr>
            <w:color w:val="0000EE"/>
            <w:u w:val="single"/>
          </w:rPr>
          <w:t>Micah 1:3–4</w:t>
        </w:r>
      </w:hyperlink>
      <w:r>
        <w:rPr>
          <w:lang w:val="en_US" w:bidi="en_US"/>
        </w:rPr>
        <w:t xml:space="preserve">; see also </w:t>
      </w:r>
      <w:hyperlink r:id="rId82">
        <w:r>
          <w:rPr>
            <w:lang w:val="en_US" w:bidi="en_US"/>
          </w:rPr>
          <w:rPr>
            <w:color w:val="0000EE"/>
            <w:u w:val="single"/>
          </w:rPr>
          <w:t>Isaiah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hyperlink r:id="rId83">
        <w:r>
          <w:rPr>
            <w:lang w:val="en_US" w:bidi="en_US"/>
          </w:rPr>
          <w:rPr>
            <w:color w:val="0000EE"/>
            <w:u w:val="single"/>
          </w:rPr>
          <w:t>Isaiah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hyperlink r:id="rId86">
        <w:r>
          <w:rPr>
            <w:lang w:val="en_US" w:bidi="en_US"/>
          </w:rPr>
          <w:rPr>
            <w:color w:val="0000EE"/>
            <w:u w:val="single"/>
          </w:rPr>
          <w:t>Galatians 2:11–14</w:t>
        </w:r>
      </w:hyperlink>
      <w:r>
        <w:rPr>
          <w:lang w:val="en_US" w:bidi="en_US"/>
        </w:rPr>
        <w:t xml:space="preserve">). But the New Testament indicates otherwise. </w:t>
      </w:r>
    </w:p>
    <w:p>
      <w:pPr/>
      <w:r>
        <w:rPr>
          <w:lang w:val="en_US" w:bidi="en_US"/>
        </w:rPr>
      </w:r>
      <w:r>
        <w:rPr>
          <w:lang w:val="en_US" w:bidi="en_US"/>
        </w:rPr>
        <w:t>Peter and Paul about the good news for non-Jews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Silvanus and Mark worked with both Paul and Peter (see </w:t>
      </w:r>
      <w:hyperlink r:id="rId89">
        <w:r>
          <w:rPr>
            <w:lang w:val="en_US" w:bidi="en_US"/>
          </w:rPr>
          <w:rPr>
            <w:color w:val="0000EE"/>
            <w:u w:val="single"/>
          </w:rPr>
          <w:t>1 Peter 5:12–13</w:t>
        </w:r>
      </w:hyperlink>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