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r>
        <w:rPr>
          <w:lang w:val="en_US" w:bidi="en_US"/>
        </w:rPr>
        <w:t>Genesis 35:19</w:t>
      </w:r>
      <w:r>
        <w:rPr>
          <w:lang w:val="en_US" w:bidi="en_US"/>
        </w:rPr>
        <w:t xml:space="preserve">; </w:t>
      </w:r>
      <w:r>
        <w:rPr>
          <w:lang w:val="en_US" w:bidi="en_US"/>
        </w:rPr>
        <w:t>1 Chronicles 4:4</w:t>
      </w:r>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r>
        <w:rPr>
          <w:lang w:val="en_US" w:bidi="en_US"/>
        </w:rPr>
        <w:t>Ruth 4:10</w:t>
      </w:r>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r>
        <w:rPr>
          <w:lang w:val="en_US" w:bidi="en_US"/>
        </w:rPr>
        <w:t>Ruth 4:13</w:t>
      </w:r>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r>
        <w:rPr>
          <w:lang w:val="en_US" w:bidi="en_US"/>
        </w:rPr>
        <w:t>Genesis 2:24</w:t>
      </w:r>
      <w:r>
        <w:rPr>
          <w:lang w:val="en_US" w:bidi="en_US"/>
        </w:rPr>
        <w:t>) and to describe a person staying faithful to the Lord (</w:t>
      </w:r>
      <w:r>
        <w:rPr>
          <w:lang w:val="en_US" w:bidi="en_US"/>
        </w:rPr>
        <w:t>Deuteronomy 4:4</w:t>
      </w:r>
      <w:r>
        <w:rPr>
          <w:lang w:val="en_US" w:bidi="en_US"/>
        </w:rPr>
        <w:t xml:space="preserve">; </w:t>
      </w:r>
      <w:r>
        <w:rPr>
          <w:lang w:val="en_US" w:bidi="en_US"/>
        </w:rPr>
        <w:t>10:20</w:t>
      </w:r>
      <w:r>
        <w:rPr>
          <w:lang w:val="en_US" w:bidi="en_US"/>
        </w:rPr>
        <w:t xml:space="preserve">; </w:t>
      </w:r>
      <w:r>
        <w:rPr>
          <w:lang w:val="en_US" w:bidi="en_US"/>
        </w:rPr>
        <w:t>Joshua 22:5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r>
        <w:rPr>
          <w:lang w:val="en_US" w:bidi="en_US"/>
        </w:rPr>
        <w:t>Ruth 2:11–12</w:t>
      </w:r>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r>
        <w:rPr>
          <w:lang w:val="en_US" w:bidi="en_US"/>
        </w:rPr>
        <w:t>Ruth 4:14–17</w:t>
      </w:r>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r>
        <w:rPr>
          <w:lang w:val="en_US" w:bidi="en_US"/>
        </w:rPr>
        <w:t>Leviticus 19:9–10</w:t>
      </w:r>
      <w:r>
        <w:rPr>
          <w:lang w:val="en_US" w:bidi="en_US"/>
        </w:rPr>
        <w:t xml:space="preserve">; </w:t>
      </w:r>
      <w:r>
        <w:rPr>
          <w:lang w:val="en_US" w:bidi="en_US"/>
        </w:rPr>
        <w:t>23:22</w:t>
      </w:r>
      <w:r>
        <w:rPr>
          <w:lang w:val="en_US" w:bidi="en_US"/>
        </w:rPr>
        <w:t xml:space="preserve">; </w:t>
      </w:r>
      <w:r>
        <w:rPr>
          <w:lang w:val="en_US" w:bidi="en_US"/>
        </w:rPr>
        <w:t>Deuteronomy 24:19–22</w:t>
      </w:r>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r>
        <w:rPr>
          <w:lang w:val="en_US" w:bidi="en_US"/>
        </w:rPr>
        <w:t>Ruth 1:22</w:t>
      </w:r>
      <w:r>
        <w:rPr>
          <w:lang w:val="en_US" w:bidi="en_US"/>
        </w:rPr>
        <w:t xml:space="preserve">; </w:t>
      </w:r>
      <w:r>
        <w:rPr>
          <w:lang w:val="en_US" w:bidi="en_US"/>
        </w:rPr>
        <w:t>2:2</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10</w:t>
      </w:r>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r>
        <w:rPr>
          <w:lang w:val="en_US" w:bidi="en_US"/>
        </w:rPr>
        <w:t>Ruth 1:9</w:t>
      </w:r>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r>
        <w:rPr>
          <w:lang w:val="en_US" w:bidi="en_US"/>
        </w:rPr>
        <w:t>Ezekiel 16:8</w:t>
      </w:r>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r>
        <w:rPr>
          <w:lang w:val="en_US" w:bidi="en_US"/>
        </w:rPr>
        <w:t>Ruth 4:5</w:t>
      </w:r>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r>
        <w:rPr>
          <w:lang w:val="en_US" w:bidi="en_US"/>
        </w:rPr>
        <w:t>Ruth 4:5</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r>
        <w:rPr>
          <w:lang w:val="en_US" w:bidi="en_US"/>
        </w:rPr>
        <w:t>Ruth 4:1–12</w:t>
      </w:r>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r>
        <w:rPr>
          <w:lang w:val="en_US" w:bidi="en_US"/>
        </w:rPr>
        <w:t>Ruth 2:17</w:t>
      </w:r>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r>
        <w:rPr>
          <w:lang w:val="en_US" w:bidi="en_US"/>
        </w:rPr>
        <w:t>Leviticus 25:23–34</w:t>
      </w:r>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r>
        <w:rPr>
          <w:lang w:val="en_US" w:bidi="en_US"/>
        </w:rPr>
        <w:t>Ruth 4:10</w:t>
      </w:r>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r>
        <w:rPr>
          <w:lang w:val="en_US" w:bidi="en_US"/>
        </w:rPr>
        <w:t>Deuteronomy 25:7</w:t>
      </w:r>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r>
        <w:rPr>
          <w:lang w:val="en_US" w:bidi="en_US"/>
        </w:rPr>
        <w:t>Deuteronomy 25:5–10</w:t>
      </w:r>
      <w:r>
        <w:rPr>
          <w:lang w:val="en_US" w:bidi="en_US"/>
        </w:rPr>
        <w:t xml:space="preserve"> for levirate marriage; compare </w:t>
      </w:r>
      <w:r>
        <w:rPr>
          <w:lang w:val="en_US" w:bidi="en_US"/>
        </w:rPr>
        <w:t>Genesis 38</w:t>
      </w:r>
      <w:r>
        <w:rPr>
          <w:lang w:val="en_US" w:bidi="en_US"/>
        </w:rPr>
        <w:t>). There is no exact precedent for Boaz's legal action. The duty of the "</w:t>
      </w:r>
      <w:r>
        <w:rPr>
          <w:i/>
          <w:lang w:val="en_US" w:bidi="en_US"/>
        </w:rPr>
        <w:t>levir</w:t>
      </w:r>
      <w:r>
        <w:rPr>
          <w:lang w:val="en_US" w:bidi="en_US"/>
        </w:rPr>
        <w:t xml:space="preserve">" in </w:t>
      </w:r>
      <w:r>
        <w:rPr>
          <w:lang w:val="en_US" w:bidi="en_US"/>
        </w:rPr>
        <w:t>Deuteronomy 25:5–10</w:t>
      </w:r>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r>
        <w:rPr>
          <w:lang w:val="en_US" w:bidi="en_US"/>
        </w:rPr>
        <w:t>Numbers 27:1–11)</w:t>
      </w:r>
      <w:r>
        <w:rPr>
          <w:lang w:val="en_US" w:bidi="en_US"/>
        </w:rPr>
        <w:t>. Since Naomi was too old to have children, Ruth, Elimelech’s son's widow, would be the mother of such an heir. This move surprised the other kinsman (</w:t>
      </w:r>
      <w:r>
        <w:rPr>
          <w:lang w:val="en_US" w:bidi="en_US"/>
        </w:rPr>
        <w:t>Ruth 4:6</w:t>
      </w:r>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r>
        <w:rPr>
          <w:lang w:val="en_US" w:bidi="en_US"/>
        </w:rPr>
        <w:t>Deuteronomy 25:9</w:t>
      </w:r>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r>
        <w:rPr>
          <w:lang w:val="en_US" w:bidi="en_US"/>
        </w:rPr>
        <w:t>Ruth 1:21</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