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1CH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1 Tawarikh 1:1–2.2</w:t>
      </w:r>
      <w:r>
        <w:rPr>
          <w:lang w:val="id_ID" w:bidi="id_ID"/>
        </w:rPr>
      </w:r>
    </w:p>
    <w:p>
      <w:pPr/>
      <w:r>
        <w:rPr>
          <w:lang w:val="id_ID" w:bidi="id_ID"/>
        </w:rPr>
      </w:r>
      <w:r>
        <w:rPr>
          <w:lang w:val="id_ID" w:bidi="id_ID"/>
        </w:rPr>
        <w:t>Penulis kitab Tawarikh memulai dengan menunjukkan kedudukan bangsa Israel di antara bangsa-bangsa. Ia menelusuri garis keturunan mereka dari Adam hingga Yakub, menggunakan informasi dari kitab Kejadian.</w:t>
      </w:r>
      <w:r>
        <w:rPr>
          <w:lang w:val="id_ID" w:bidi="id_ID"/>
        </w:rPr>
      </w:r>
      <w:r>
        <w:rPr>
          <w:lang w:val="id_ID" w:bidi="id_ID"/>
        </w:rPr>
      </w:r>
    </w:p>
    <w:p>
      <w:pPr/>
      <w:r>
        <w:rPr>
          <w:lang w:val="id_ID" w:bidi="id_ID"/>
        </w:rPr>
      </w:r>
    </w:p>
    <w:p>
      <w:pPr>
        <w:pStyle w:val="Heading2"/>
      </w:pPr>
      <w:r>
        <w:rPr>
          <w:lang w:val="id_ID" w:bidi="id_ID"/>
        </w:rPr>
        <w:t>1 Tawarikh 29:7</w:t>
      </w:r>
      <w:r>
        <w:rPr>
          <w:lang w:val="id_ID" w:bidi="id_ID"/>
        </w:rPr>
      </w:r>
    </w:p>
    <w:p>
      <w:pPr/>
      <w:r>
        <w:rPr>
          <w:lang w:val="id_ID" w:bidi="id_ID"/>
        </w:rPr>
      </w:r>
      <w:r>
        <w:rPr>
          <w:i/>
          <w:lang w:val="id_ID" w:bidi="id_ID"/>
        </w:rPr>
        <w:t>sepuluh ribu dirham</w:t>
      </w:r>
      <w:r>
        <w:rPr>
          <w:lang w:val="id_ID" w:bidi="id_ID"/>
        </w:rPr>
        <w:t xml:space="preserve">: </w:t>
      </w:r>
      <w:r>
        <w:rPr>
          <w:i/>
          <w:lang w:val="id_ID" w:bidi="id_ID"/>
        </w:rPr>
        <w:t>Darik</w:t>
      </w:r>
      <w:r>
        <w:rPr>
          <w:lang w:val="id_ID" w:bidi="id_ID"/>
        </w:rPr>
        <w:t xml:space="preserve"> Persia pertama kali dicetak pada masa pemerintahan Raja Darius I dari Persia, yang memerintah dari tahun 522 hingga 486 SM. Saat menggambarkan persembahan bagi bait suci pada zaman Salomo, Penulis kitab Tawarikh memperbarui informasi agar sesuai dengan zamannya, serupa dengan cara New Living Translation yang mengubah satuan berat dan ukuran Ibrani ke dalam bentuk yang modern.</w:t>
      </w:r>
      <w:r>
        <w:rPr>
          <w:lang w:val="id_ID" w:bidi="id_ID"/>
        </w:rPr>
      </w:r>
      <w:r>
        <w:rPr>
          <w:lang w:val="id_ID" w:bidi="id_ID"/>
        </w:rPr>
      </w:r>
    </w:p>
    <w:p>
      <w:pPr/>
      <w:r>
        <w:rPr>
          <w:lang w:val="id_ID" w:bidi="id_ID"/>
        </w:rPr>
      </w:r>
    </w:p>
    <w:p>
      <w:pPr>
        <w:pStyle w:val="Heading2"/>
      </w:pPr>
      <w:r>
        <w:rPr>
          <w:lang w:val="id_ID" w:bidi="id_ID"/>
        </w:rPr>
        <w:t>1 Tawarikh 29:10–19</w:t>
      </w:r>
      <w:r>
        <w:rPr>
          <w:lang w:val="id_ID" w:bidi="id_ID"/>
        </w:rPr>
      </w:r>
    </w:p>
    <w:p>
      <w:pPr/>
      <w:r>
        <w:rPr>
          <w:lang w:val="id_ID" w:bidi="id_ID"/>
        </w:rPr>
      </w:r>
      <w:r>
        <w:rPr>
          <w:lang w:val="id_ID" w:bidi="id_ID"/>
        </w:rPr>
        <w:t>Doa pujian Daud mengakhiri pidatonya pada penobatan Salomo. Doa itu memuji kekuasaan Allah dan kemuliaan kerajaan-Nya</w:t>
      </w:r>
      <w:r>
        <w:rPr>
          <w:i/>
          <w:lang w:val="id_ID" w:bidi="id_ID"/>
        </w:rPr>
        <w:t>,</w:t>
      </w:r>
      <w:r>
        <w:rPr>
          <w:lang w:val="id_ID" w:bidi="id_ID"/>
        </w:rPr>
        <w:t xml:space="preserve"> serta mempersembahkan persembahan untuk pembangunan Bait Suci. Doa ini terdiri dari tiga bagian:</w:t>
      </w:r>
    </w:p>
    <w:p>
      <w:pPr>
        <w:pStyle w:val="ListNumber"/>
        <w:numPr>
          <w:ilvl w:val="0"/>
          <w:numId w:val="14"/>
        </w:numPr>
        <w:spacing w:line="240" w:lineRule="auto"/>
        <w:ind w:left="720"/>
      </w:pPr>
      <w:r>
        <w:rPr>
          <w:lang w:val="id_ID" w:bidi="id_ID"/>
        </w:rPr>
      </w:r>
      <w:r>
        <w:rPr>
          <w:lang w:val="id_ID" w:bidi="id_ID"/>
        </w:rPr>
        <w:t>Doksologi (</w:t>
      </w:r>
      <w:hyperlink r:id="rId13">
        <w:r>
          <w:rPr>
            <w:lang w:val="id_ID" w:bidi="id_ID"/>
          </w:rPr>
          <w:rPr>
            <w:color w:val="0000EE"/>
            <w:u w:val="single"/>
          </w:rPr>
          <w:t>1 Taw. 29:10b–13</w:t>
        </w:r>
      </w:hyperlink>
      <w:r>
        <w:rPr>
          <w:lang w:val="id_ID" w:bidi="id_ID"/>
        </w:rPr>
        <w:t>)</w:t>
      </w:r>
    </w:p>
    <w:p>
      <w:pPr>
        <w:pStyle w:val="ListNumber"/>
        <w:spacing w:line="240" w:lineRule="auto"/>
        <w:ind w:left="720"/>
      </w:pPr>
      <w:r>
        <w:rPr>
          <w:lang w:val="id_ID" w:bidi="id_ID"/>
        </w:rPr>
      </w:r>
      <w:r>
        <w:rPr>
          <w:lang w:val="id_ID" w:bidi="id_ID"/>
        </w:rPr>
        <w:t>Penyajian dan pengkhususan persembahan (</w:t>
      </w:r>
      <w:hyperlink r:id="rId14">
        <w:r>
          <w:rPr>
            <w:lang w:val="id_ID" w:bidi="id_ID"/>
          </w:rPr>
          <w:rPr>
            <w:color w:val="0000EE"/>
            <w:u w:val="single"/>
          </w:rPr>
          <w:t>1 Taw. 29:14–17</w:t>
        </w:r>
      </w:hyperlink>
      <w:r>
        <w:rPr>
          <w:lang w:val="id_ID" w:bidi="id_ID"/>
        </w:rPr>
        <w:t>)</w:t>
      </w:r>
    </w:p>
    <w:p>
      <w:pPr>
        <w:pStyle w:val="ListNumber"/>
        <w:spacing w:line="240" w:lineRule="auto"/>
        <w:ind w:left="720"/>
      </w:pPr>
      <w:r>
        <w:rPr>
          <w:lang w:val="id_ID" w:bidi="id_ID"/>
        </w:rPr>
      </w:r>
      <w:r>
        <w:rPr>
          <w:lang w:val="id_ID" w:bidi="id_ID"/>
        </w:rPr>
        <w:t>Permohonan (</w:t>
      </w:r>
      <w:hyperlink r:id="rId15">
        <w:r>
          <w:rPr>
            <w:lang w:val="id_ID" w:bidi="id_ID"/>
          </w:rPr>
          <w:rPr>
            <w:color w:val="0000EE"/>
            <w:u w:val="single"/>
          </w:rPr>
          <w:t>1 Taw. 29:18–19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29:18–19</w:t>
      </w:r>
      <w:r>
        <w:rPr>
          <w:lang w:val="id_ID" w:bidi="id_ID"/>
        </w:rPr>
      </w:r>
    </w:p>
    <w:p>
      <w:pPr/>
      <w:r>
        <w:rPr>
          <w:lang w:val="id_ID" w:bidi="id_ID"/>
        </w:rPr>
      </w:r>
      <w:r>
        <w:rPr>
          <w:lang w:val="id_ID" w:bidi="id_ID"/>
        </w:rPr>
        <w:t>Daud tidak memohon kepada Allah untuk kekuasaan, kemenangan, atau kekayaan, maupun agar kerajaan Salomo ditegakkan. Sebaliknya, ia memohon kepada Allah untuk membantu orang-orang Israel, terutama Salomo, agar selalu memiliki keinginan untuk menaati Tuhan. Memiliki hati seperti ini adalah anugerah dari Tuhan; kesuksesan dan kemakmuran akan datang kemudian.</w:t>
      </w:r>
      <w:r>
        <w:rPr>
          <w:lang w:val="id_ID" w:bidi="id_ID"/>
        </w:rPr>
      </w:r>
      <w:r>
        <w:rPr>
          <w:lang w:val="id_ID" w:bidi="id_ID"/>
        </w:rPr>
      </w:r>
    </w:p>
    <w:p>
      <w:pPr/>
      <w:r>
        <w:rPr>
          <w:lang w:val="id_ID" w:bidi="id_ID"/>
        </w:rPr>
      </w:r>
    </w:p>
    <w:p>
      <w:pPr>
        <w:pStyle w:val="Heading2"/>
      </w:pPr>
      <w:r>
        <w:rPr>
          <w:lang w:val="id_ID" w:bidi="id_ID"/>
        </w:rPr>
        <w:t>1 Tawarikh 29:21–25</w:t>
      </w:r>
      <w:r>
        <w:rPr>
          <w:lang w:val="id_ID" w:bidi="id_ID"/>
        </w:rPr>
      </w:r>
    </w:p>
    <w:p>
      <w:pPr/>
      <w:r>
        <w:rPr>
          <w:lang w:val="id_ID" w:bidi="id_ID"/>
        </w:rPr>
      </w:r>
      <w:r>
        <w:rPr>
          <w:lang w:val="id_ID" w:bidi="id_ID"/>
        </w:rPr>
        <w:t xml:space="preserve">Setelah pidato dan doa pada penobatan Salomo, dilakukanlah persembahan korban. Salomo dan Zadok diurapi, dan Salomo naik takhta. Zadok tidak memulai peran imamnya melainkan dikhususkan untuk melayani di Bait Suci itu sendiri. (Keturunan Zadok disebutkan dalam </w:t>
      </w:r>
      <w:hyperlink r:id="rId16">
        <w:r>
          <w:rPr>
            <w:lang w:val="id_ID" w:bidi="id_ID"/>
          </w:rPr>
          <w:rPr>
            <w:color w:val="0000EE"/>
            <w:u w:val="single"/>
          </w:rPr>
          <w:t>Yeh. 40:46</w:t>
        </w:r>
      </w:hyperlink>
      <w:r>
        <w:rPr>
          <w:lang w:val="id_ID" w:bidi="id_ID"/>
        </w:rPr>
        <w:t xml:space="preserve">; </w:t>
      </w:r>
      <w:hyperlink r:id="rId17">
        <w:r>
          <w:rPr>
            <w:lang w:val="id_ID" w:bidi="id_ID"/>
          </w:rPr>
          <w:rPr>
            <w:color w:val="0000EE"/>
            <w:u w:val="single"/>
          </w:rPr>
          <w:t>43:19</w:t>
        </w:r>
      </w:hyperlink>
      <w:r>
        <w:rPr>
          <w:lang w:val="id_ID" w:bidi="id_ID"/>
        </w:rPr>
        <w:t xml:space="preserve">; </w:t>
      </w:r>
      <w:hyperlink r:id="rId18">
        <w:r>
          <w:rPr>
            <w:lang w:val="id_ID" w:bidi="id_ID"/>
          </w:rPr>
          <w:rPr>
            <w:color w:val="0000EE"/>
            <w:u w:val="single"/>
          </w:rPr>
          <w:t>44:15</w:t>
        </w:r>
      </w:hyperlink>
      <w:r>
        <w:rPr>
          <w:lang w:val="id_ID" w:bidi="id_ID"/>
        </w:rPr>
        <w:t xml:space="preserve">; </w:t>
      </w:r>
      <w:hyperlink r:id="rId19">
        <w:r>
          <w:rPr>
            <w:lang w:val="id_ID" w:bidi="id_ID"/>
          </w:rPr>
          <w:rPr>
            <w:color w:val="0000EE"/>
            <w:u w:val="single"/>
          </w:rPr>
          <w:t>48:11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29:26–30</w:t>
      </w:r>
      <w:r>
        <w:rPr>
          <w:lang w:val="id_ID" w:bidi="id_ID"/>
        </w:rPr>
      </w:r>
    </w:p>
    <w:p>
      <w:pPr/>
      <w:r>
        <w:rPr>
          <w:lang w:val="id_ID" w:bidi="id_ID"/>
        </w:rPr>
      </w:r>
      <w:r>
        <w:rPr>
          <w:lang w:val="id_ID" w:bidi="id_ID"/>
        </w:rPr>
        <w:t xml:space="preserve">Penulis kitab Tawarikh mengakhiri kisahnya mengenai pemerintahan Daud dengan sebuah ringkasan resmi, serupa dengan yang ada untuk semua raja Israel dan Yehuda (misalnya, </w:t>
      </w:r>
      <w:hyperlink r:id="rId20">
        <w:r>
          <w:rPr>
            <w:lang w:val="id_ID" w:bidi="id_ID"/>
          </w:rPr>
          <w:rPr>
            <w:color w:val="0000EE"/>
            <w:u w:val="single"/>
          </w:rPr>
          <w:t>1 Raj. 22:41–50</w:t>
        </w:r>
      </w:hyperlink>
      <w:r>
        <w:rPr>
          <w:lang w:val="id_ID" w:bidi="id_ID"/>
        </w:rPr>
        <w:t>). Seperti Abraham (</w:t>
      </w:r>
      <w:hyperlink r:id="rId21">
        <w:r>
          <w:rPr>
            <w:lang w:val="id_ID" w:bidi="id_ID"/>
          </w:rPr>
          <w:rPr>
            <w:color w:val="0000EE"/>
            <w:u w:val="single"/>
          </w:rPr>
          <w:t>Kej. 25:8</w:t>
        </w:r>
      </w:hyperlink>
      <w:r>
        <w:rPr>
          <w:lang w:val="id_ID" w:bidi="id_ID"/>
        </w:rPr>
        <w:t>) dan Ishak (</w:t>
      </w:r>
      <w:hyperlink r:id="rId22">
        <w:r>
          <w:rPr>
            <w:lang w:val="id_ID" w:bidi="id_ID"/>
          </w:rPr>
          <w:rPr>
            <w:color w:val="0000EE"/>
            <w:u w:val="single"/>
          </w:rPr>
          <w:t>Kej. 35:29</w:t>
        </w:r>
      </w:hyperlink>
      <w:r>
        <w:rPr>
          <w:lang w:val="id_ID" w:bidi="id_ID"/>
        </w:rPr>
        <w:t>), Daud wafat di usia tua dengan kekayaan dan kehormatan.</w:t>
      </w:r>
      <w:r>
        <w:rPr>
          <w:lang w:val="id_ID" w:bidi="id_ID"/>
        </w:rPr>
      </w:r>
      <w:r>
        <w:rPr>
          <w:lang w:val="id_ID" w:bidi="id_ID"/>
        </w:rPr>
      </w:r>
    </w:p>
    <w:p>
      <w:pPr/>
      <w:r>
        <w:rPr>
          <w:lang w:val="id_ID" w:bidi="id_ID"/>
        </w:rPr>
      </w:r>
    </w:p>
    <w:p>
      <w:pPr>
        <w:pStyle w:val="Heading2"/>
      </w:pPr>
      <w:r>
        <w:rPr>
          <w:lang w:val="id_ID" w:bidi="id_ID"/>
        </w:rPr>
        <w:t>1 Tawarikh 29:29</w:t>
      </w:r>
      <w:r>
        <w:rPr>
          <w:lang w:val="id_ID" w:bidi="id_ID"/>
        </w:rPr>
      </w:r>
    </w:p>
    <w:p>
      <w:pPr/>
      <w:r>
        <w:rPr>
          <w:lang w:val="id_ID" w:bidi="id_ID"/>
        </w:rPr>
      </w:r>
      <w:r>
        <w:rPr>
          <w:lang w:val="id_ID" w:bidi="id_ID"/>
        </w:rPr>
        <w:t>Catatan sejarah mengenai pemerintahan Daud menggunakan sumber-sumber yang berkaitan dengan tiga orang nabi:</w:t>
      </w:r>
    </w:p>
    <w:p>
      <w:pPr>
        <w:pStyle w:val="ListNumber"/>
        <w:numPr>
          <w:ilvl w:val="0"/>
          <w:numId w:val="15"/>
        </w:numPr>
        <w:spacing w:line="240" w:lineRule="auto"/>
        <w:ind w:left="720"/>
      </w:pPr>
      <w:r>
        <w:rPr>
          <w:lang w:val="id_ID" w:bidi="id_ID"/>
        </w:rPr>
      </w:r>
      <w:r>
        <w:rPr>
          <w:lang w:val="id_ID" w:bidi="id_ID"/>
        </w:rPr>
        <w:t>Samuel (</w:t>
      </w:r>
      <w:hyperlink r:id="rId23">
        <w:r>
          <w:rPr>
            <w:lang w:val="id_ID" w:bidi="id_ID"/>
          </w:rPr>
          <w:rPr>
            <w:color w:val="0000EE"/>
            <w:u w:val="single"/>
          </w:rPr>
          <w:t>1 Taw. 11:3</w:t>
        </w:r>
      </w:hyperlink>
      <w:r>
        <w:rPr>
          <w:lang w:val="id_ID" w:bidi="id_ID"/>
        </w:rPr>
        <w:t>)</w:t>
      </w:r>
    </w:p>
    <w:p>
      <w:pPr>
        <w:pStyle w:val="ListNumber"/>
        <w:spacing w:line="240" w:lineRule="auto"/>
        <w:ind w:left="720"/>
      </w:pPr>
      <w:r>
        <w:rPr>
          <w:lang w:val="id_ID" w:bidi="id_ID"/>
        </w:rPr>
      </w:r>
      <w:r>
        <w:rPr>
          <w:lang w:val="id_ID" w:bidi="id_ID"/>
        </w:rPr>
        <w:t>Natan (</w:t>
      </w:r>
      <w:hyperlink r:id="rId24">
        <w:r>
          <w:rPr>
            <w:lang w:val="id_ID" w:bidi="id_ID"/>
          </w:rPr>
          <w:rPr>
            <w:color w:val="0000EE"/>
            <w:u w:val="single"/>
          </w:rPr>
          <w:t>1 Taw. 17:1–27</w:t>
        </w:r>
      </w:hyperlink>
      <w:r>
        <w:rPr>
          <w:lang w:val="id_ID" w:bidi="id_ID"/>
        </w:rPr>
        <w:t>)</w:t>
      </w:r>
    </w:p>
    <w:p>
      <w:pPr>
        <w:pStyle w:val="ListNumber"/>
        <w:spacing w:line="240" w:lineRule="auto"/>
        <w:ind w:left="720"/>
      </w:pPr>
      <w:r>
        <w:rPr>
          <w:lang w:val="id_ID" w:bidi="id_ID"/>
        </w:rPr>
      </w:r>
      <w:r>
        <w:rPr>
          <w:lang w:val="id_ID" w:bidi="id_ID"/>
        </w:rPr>
        <w:t>Gad (</w:t>
      </w:r>
      <w:hyperlink r:id="rId25">
        <w:r>
          <w:rPr>
            <w:lang w:val="id_ID" w:bidi="id_ID"/>
          </w:rPr>
          <w:rPr>
            <w:color w:val="0000EE"/>
            <w:u w:val="single"/>
          </w:rPr>
          <w:t>1 Taw. 21:9</w:t>
        </w:r>
      </w:hyperlink>
      <w:r>
        <w:rPr>
          <w:lang w:val="id_ID" w:bidi="id_ID"/>
        </w:rPr>
        <w:t>)</w:t>
      </w:r>
    </w:p>
    <w:p>
      <w:pPr/>
      <w:r>
        <w:rPr>
          <w:lang w:val="id_ID" w:bidi="id_ID"/>
        </w:rPr>
      </w:r>
      <w:r>
        <w:rPr>
          <w:lang w:val="id_ID" w:bidi="id_ID"/>
        </w:rPr>
        <w:t xml:space="preserve">Penulis kitab Tawarikh juga menggunakan sumber-sumber lain selain kitab Samuel dan Raja-raja (lihat </w:t>
      </w:r>
      <w:r>
        <w:rPr>
          <w:lang w:val="id_ID" w:bidi="id_ID"/>
        </w:rPr>
        <w:t>catatan studi pada 1 Taw. 9:1</w:t>
      </w:r>
      <w:r>
        <w:rPr>
          <w:lang w:val="id_ID" w:bidi="id_ID"/>
        </w:rPr>
        <w:t xml:space="preserve">; lihat juga </w:t>
      </w:r>
      <w:hyperlink r:id="rId26">
        <w:r>
          <w:rPr>
            <w:lang w:val="id_ID" w:bidi="id_ID"/>
          </w:rPr>
          <w:rPr>
            <w:color w:val="0000EE"/>
            <w:u w:val="single"/>
          </w:rPr>
          <w:t>1 Raj. 11:41–43</w:t>
        </w:r>
      </w:hyperlink>
      <w:r>
        <w:rPr>
          <w:lang w:val="id_ID" w:bidi="id_ID"/>
        </w:rPr>
        <w:t xml:space="preserve">; </w:t>
      </w:r>
      <w:hyperlink r:id="rId27">
        <w:r>
          <w:rPr>
            <w:lang w:val="id_ID" w:bidi="id_ID"/>
          </w:rPr>
          <w:rPr>
            <w:color w:val="0000EE"/>
            <w:u w:val="single"/>
          </w:rPr>
          <w:t>14:19–20</w:t>
        </w:r>
      </w:hyperlink>
      <w:r>
        <w:rPr>
          <w:lang w:val="id_ID" w:bidi="id_ID"/>
        </w:rPr>
        <w:t xml:space="preserve">, </w:t>
      </w:r>
      <w:hyperlink r:id="rId28">
        <w:r>
          <w:rPr>
            <w:lang w:val="id_ID" w:bidi="id_ID"/>
          </w:rPr>
          <w:rPr>
            <w:color w:val="0000EE"/>
            <w:u w:val="single"/>
          </w:rPr>
          <w:t>29–31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1 Tawarikh 29:30</w:t>
      </w:r>
      <w:r>
        <w:rPr>
          <w:lang w:val="id_ID" w:bidi="id_ID"/>
        </w:rPr>
      </w:r>
    </w:p>
    <w:p>
      <w:pPr/>
      <w:r>
        <w:rPr>
          <w:lang w:val="id_ID" w:bidi="id_ID"/>
        </w:rPr>
      </w:r>
      <w:r>
        <w:rPr>
          <w:lang w:val="id_ID" w:bidi="id_ID"/>
        </w:rPr>
        <w:t>Ayat terakhir memuji Daud, menyorotinya sebagai tokoh utama pada masanya.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29:10-1Chr29:13" TargetMode="External"/><Relationship Id="rId14" Type="http://schemas.openxmlformats.org/officeDocument/2006/relationships/hyperlink" Target="https://ref.ly/1Chr29:14-1Chr29:17" TargetMode="External"/><Relationship Id="rId15" Type="http://schemas.openxmlformats.org/officeDocument/2006/relationships/hyperlink" Target="https://ref.ly/1Chr29:18-1Chr29:19" TargetMode="External"/><Relationship Id="rId16" Type="http://schemas.openxmlformats.org/officeDocument/2006/relationships/hyperlink" Target="https://ref.ly/Ezek40:46" TargetMode="External"/><Relationship Id="rId17" Type="http://schemas.openxmlformats.org/officeDocument/2006/relationships/hyperlink" Target="https://ref.ly/Ezek43:19" TargetMode="External"/><Relationship Id="rId18" Type="http://schemas.openxmlformats.org/officeDocument/2006/relationships/hyperlink" Target="https://ref.ly/Ezek44:15" TargetMode="External"/><Relationship Id="rId19" Type="http://schemas.openxmlformats.org/officeDocument/2006/relationships/hyperlink" Target="https://ref.ly/Ezek48:11" TargetMode="External"/><Relationship Id="rId20" Type="http://schemas.openxmlformats.org/officeDocument/2006/relationships/hyperlink" Target="https://ref.ly/1Kgs22:41-1Kgs22:50" TargetMode="External"/><Relationship Id="rId21" Type="http://schemas.openxmlformats.org/officeDocument/2006/relationships/hyperlink" Target="https://ref.ly/Gen25:8" TargetMode="External"/><Relationship Id="rId22" Type="http://schemas.openxmlformats.org/officeDocument/2006/relationships/hyperlink" Target="https://ref.ly/Gen35:29" TargetMode="External"/><Relationship Id="rId23" Type="http://schemas.openxmlformats.org/officeDocument/2006/relationships/hyperlink" Target="https://ref.ly/1Chr11:3" TargetMode="External"/><Relationship Id="rId24" Type="http://schemas.openxmlformats.org/officeDocument/2006/relationships/hyperlink" Target="https://ref.ly/1Chr17:1-1Chr17:27" TargetMode="External"/><Relationship Id="rId25" Type="http://schemas.openxmlformats.org/officeDocument/2006/relationships/hyperlink" Target="https://ref.ly/1Chr21:9" TargetMode="External"/><Relationship Id="rId26" Type="http://schemas.openxmlformats.org/officeDocument/2006/relationships/hyperlink" Target="https://ref.ly/1Kgs11:41-1Kgs11:43" TargetMode="External"/><Relationship Id="rId27" Type="http://schemas.openxmlformats.org/officeDocument/2006/relationships/hyperlink" Target="https://ref.ly/1Kgs14:19-1Kgs14:20" TargetMode="External"/><Relationship Id="rId28" Type="http://schemas.openxmlformats.org/officeDocument/2006/relationships/hyperlink" Target="https://ref.ly/1Kgs14:29-1Kgs14: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