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Wahyu 1:1</w:t>
      </w:r>
      <w:r>
        <w:rPr>
          <w:lang w:val="id_ID" w:bidi="id_ID"/>
        </w:rPr>
      </w:r>
    </w:p>
    <w:p>
      <w:pPr/>
      <w:r>
        <w:rPr>
          <w:lang w:val="id_ID" w:bidi="id_ID"/>
        </w:rPr>
      </w:r>
      <w:r>
        <w:rPr>
          <w:lang w:val="id_ID" w:bidi="id_ID"/>
        </w:rPr>
        <w:t xml:space="preserve">Kata wahyu (bahasa Yunani apokalupsis) menunjukkan sifat visioner dari kitab ini sebagai sebuah karya apokaliptik (lihat </w:t>
      </w:r>
      <w:r>
        <w:rPr>
          <w:lang w:val="id_ID" w:bidi="id_ID"/>
        </w:rPr>
        <w:t>Pendahuluan Kitab Wahyu</w:t>
      </w:r>
      <w:r>
        <w:rPr>
          <w:lang w:val="id_ID" w:bidi="id_ID"/>
        </w:rPr>
        <w:t xml:space="preserve">, “Tulisan Apokaliptik”). Allah menyampaikan firman-Nya yang diilhamkan melalui simbol-simbol, angka-angka, dan gambar-gambar kata yang misterius. • dari (atau tentang) Yesus Kristus: Dia adalah sumber pewahyuan ini dan juga subjek utama dari kitab ini. • apa yang harus segera terjadi: Lihat </w:t>
      </w:r>
      <w:hyperlink r:id="rId13">
        <w:r>
          <w:rPr>
            <w:lang w:val="id_ID" w:bidi="id_ID"/>
          </w:rPr>
          <w:rPr>
            <w:color w:val="0000EE"/>
            <w:u w:val="single"/>
          </w:rPr>
          <w:t>Why. 3:11</w:t>
        </w:r>
      </w:hyperlink>
      <w:r>
        <w:rPr>
          <w:lang w:val="id_ID" w:bidi="id_ID"/>
        </w:rPr>
        <w:t xml:space="preserve">; </w:t>
      </w:r>
      <w:hyperlink r:id="rId14">
        <w:r>
          <w:rPr>
            <w:lang w:val="id_ID" w:bidi="id_ID"/>
          </w:rPr>
          <w:rPr>
            <w:color w:val="0000EE"/>
            <w:u w:val="single"/>
          </w:rPr>
          <w:t>22:6–7</w:t>
        </w:r>
      </w:hyperlink>
      <w:r>
        <w:rPr>
          <w:lang w:val="id_ID" w:bidi="id_ID"/>
        </w:rPr>
        <w:t xml:space="preserve">; </w:t>
      </w:r>
      <w:hyperlink r:id="rId15">
        <w:r>
          <w:rPr>
            <w:lang w:val="id_ID" w:bidi="id_ID"/>
          </w:rPr>
          <w:rPr>
            <w:color w:val="0000EE"/>
            <w:u w:val="single"/>
          </w:rPr>
          <w:t>Luk. 18:8</w:t>
        </w:r>
      </w:hyperlink>
      <w:r>
        <w:rPr>
          <w:lang w:val="id_ID" w:bidi="id_ID"/>
        </w:rPr>
        <w:t xml:space="preserve">; </w:t>
      </w:r>
      <w:hyperlink r:id="rId16">
        <w:r>
          <w:rPr>
            <w:lang w:val="id_ID" w:bidi="id_ID"/>
          </w:rPr>
          <w:rPr>
            <w:color w:val="0000EE"/>
            <w:u w:val="single"/>
          </w:rPr>
          <w:t>Rm. 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1:1–11</w:t>
      </w:r>
      <w:r>
        <w:rPr>
          <w:lang w:val="id_ID" w:bidi="id_ID"/>
        </w:rPr>
      </w:r>
    </w:p>
    <w:p>
      <w:pPr/>
      <w:r>
        <w:rPr>
          <w:lang w:val="id_ID" w:bidi="id_ID"/>
        </w:rPr>
      </w:r>
      <w:r>
        <w:rPr>
          <w:lang w:val="id_ID" w:bidi="id_ID"/>
        </w:rPr>
        <w:t>Kitab Wahyu dimulai dengan pengantar yang terdiri dari tiga bagian pendahuluan, yaitu prolog (</w:t>
      </w:r>
      <w:hyperlink r:id="rId17">
        <w:r>
          <w:rPr>
            <w:lang w:val="id_ID" w:bidi="id_ID"/>
          </w:rPr>
          <w:rPr>
            <w:color w:val="0000EE"/>
            <w:u w:val="single"/>
          </w:rPr>
          <w:t>Why. 1:1–3</w:t>
        </w:r>
      </w:hyperlink>
      <w:r>
        <w:rPr>
          <w:lang w:val="id_ID" w:bidi="id_ID"/>
        </w:rPr>
        <w:t>), pengantar surat (</w:t>
      </w:r>
      <w:hyperlink r:id="rId18">
        <w:r>
          <w:rPr>
            <w:lang w:val="id_ID" w:bidi="id_ID"/>
          </w:rPr>
          <w:rPr>
            <w:color w:val="0000EE"/>
            <w:u w:val="single"/>
          </w:rPr>
          <w:t>Why. 1:4–8</w:t>
        </w:r>
      </w:hyperlink>
      <w:r>
        <w:rPr>
          <w:lang w:val="id_ID" w:bidi="id_ID"/>
        </w:rPr>
        <w:t>), dan pengantar sejarah (</w:t>
      </w:r>
      <w:hyperlink r:id="rId19">
        <w:r>
          <w:rPr>
            <w:lang w:val="id_ID" w:bidi="id_ID"/>
          </w:rPr>
          <w:rPr>
            <w:color w:val="0000EE"/>
            <w:u w:val="single"/>
          </w:rPr>
          <w:t>Why.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Wahyu 1:2</w:t>
      </w:r>
      <w:r>
        <w:rPr>
          <w:lang w:val="id_ID" w:bidi="id_ID"/>
        </w:rPr>
      </w:r>
    </w:p>
    <w:p>
      <w:pPr/>
      <w:r>
        <w:rPr>
          <w:lang w:val="id_ID" w:bidi="id_ID"/>
        </w:rPr>
      </w:r>
      <w:r>
        <w:rPr>
          <w:lang w:val="id_ID" w:bidi="id_ID"/>
        </w:rPr>
        <w:t>bersaksi (bahasa Yunani martureō) … kesaksian (bahasa Yunani marturia): merupakan istilah yang saling berkaitan erat. kedua kata ini menekankan makna saksi yang benar dan otentik, serta menyoroti bahwa kesaksian pengorbanan Yesus dan kesaksian langsung dari Yohanes merupakan dasar utama dari pewahyuan yang disampaikan dalam kitab ini.</w:t>
      </w:r>
      <w:r>
        <w:rPr>
          <w:lang w:val="id_ID" w:bidi="id_ID"/>
        </w:rPr>
      </w:r>
      <w:r>
        <w:rPr>
          <w:lang w:val="id_ID" w:bidi="id_ID"/>
        </w:rPr>
      </w:r>
    </w:p>
    <w:p>
      <w:pPr/>
      <w:r>
        <w:rPr>
          <w:lang w:val="id_ID" w:bidi="id_ID"/>
        </w:rPr>
      </w:r>
    </w:p>
    <w:p>
      <w:pPr>
        <w:pStyle w:val="Heading2"/>
      </w:pPr>
      <w:r>
        <w:rPr>
          <w:lang w:val="id_ID" w:bidi="id_ID"/>
        </w:rPr>
        <w:t>Wahyu 1:3</w:t>
      </w:r>
      <w:r>
        <w:rPr>
          <w:lang w:val="id_ID" w:bidi="id_ID"/>
        </w:rPr>
      </w:r>
    </w:p>
    <w:p>
      <w:pPr/>
      <w:r>
        <w:rPr>
          <w:lang w:val="id_ID" w:bidi="id_ID"/>
        </w:rPr>
      </w:r>
      <w:r>
        <w:rPr>
          <w:lang w:val="id_ID" w:bidi="id_ID"/>
        </w:rPr>
        <w:t>Berbahagialah ia: Wahyu berisi tujuh janji berkat (</w:t>
      </w:r>
      <w:hyperlink r:id="rId20">
        <w:r>
          <w:rPr>
            <w:lang w:val="id_ID" w:bidi="id_ID"/>
          </w:rPr>
          <w:rPr>
            <w:color w:val="0000EE"/>
            <w:u w:val="single"/>
          </w:rPr>
          <w:t>Why. 1:3</w:t>
        </w:r>
      </w:hyperlink>
      <w:r>
        <w:rPr>
          <w:lang w:val="id_ID" w:bidi="id_ID"/>
        </w:rPr>
        <w:t xml:space="preserve">; </w:t>
      </w:r>
      <w:hyperlink r:id="rId21">
        <w:r>
          <w:rPr>
            <w:lang w:val="id_ID" w:bidi="id_ID"/>
          </w:rPr>
          <w:rPr>
            <w:color w:val="0000EE"/>
            <w:u w:val="single"/>
          </w:rPr>
          <w:t>14:13</w:t>
        </w:r>
      </w:hyperlink>
      <w:r>
        <w:rPr>
          <w:lang w:val="id_ID" w:bidi="id_ID"/>
        </w:rPr>
        <w:t xml:space="preserve">; </w:t>
      </w:r>
      <w:hyperlink r:id="rId22">
        <w:r>
          <w:rPr>
            <w:lang w:val="id_ID" w:bidi="id_ID"/>
          </w:rPr>
          <w:rPr>
            <w:color w:val="0000EE"/>
            <w:u w:val="single"/>
          </w:rPr>
          <w:t>16:15</w:t>
        </w:r>
      </w:hyperlink>
      <w:r>
        <w:rPr>
          <w:lang w:val="id_ID" w:bidi="id_ID"/>
        </w:rPr>
        <w:t xml:space="preserve">; </w:t>
      </w:r>
      <w:hyperlink r:id="rId23">
        <w:r>
          <w:rPr>
            <w:lang w:val="id_ID" w:bidi="id_ID"/>
          </w:rPr>
          <w:rPr>
            <w:color w:val="0000EE"/>
            <w:u w:val="single"/>
          </w:rPr>
          <w:t>19:9</w:t>
        </w:r>
      </w:hyperlink>
      <w:r>
        <w:rPr>
          <w:lang w:val="id_ID" w:bidi="id_ID"/>
        </w:rPr>
        <w:t xml:space="preserve">; </w:t>
      </w:r>
      <w:hyperlink r:id="rId24">
        <w:r>
          <w:rPr>
            <w:lang w:val="id_ID" w:bidi="id_ID"/>
          </w:rPr>
          <w:rPr>
            <w:color w:val="0000EE"/>
            <w:u w:val="single"/>
          </w:rPr>
          <w:t>20:6</w:t>
        </w:r>
      </w:hyperlink>
      <w:r>
        <w:rPr>
          <w:lang w:val="id_ID" w:bidi="id_ID"/>
        </w:rPr>
        <w:t xml:space="preserve">; </w:t>
      </w:r>
      <w:hyperlink r:id="rId25">
        <w:r>
          <w:rPr>
            <w:lang w:val="id_ID" w:bidi="id_ID"/>
          </w:rPr>
          <w:rPr>
            <w:color w:val="0000EE"/>
            <w:u w:val="single"/>
          </w:rPr>
          <w:t>22:7</w:t>
        </w:r>
      </w:hyperlink>
      <w:r>
        <w:rPr>
          <w:lang w:val="id_ID" w:bidi="id_ID"/>
        </w:rPr>
        <w:t xml:space="preserve">, </w:t>
      </w:r>
      <w:hyperlink r:id="rId26">
        <w:r>
          <w:rPr>
            <w:lang w:val="id_ID" w:bidi="id_ID"/>
          </w:rPr>
          <w:rPr>
            <w:color w:val="0000EE"/>
            <w:u w:val="single"/>
          </w:rPr>
          <w:t>14</w:t>
        </w:r>
      </w:hyperlink>
      <w:r>
        <w:rPr>
          <w:lang w:val="id_ID" w:bidi="id_ID"/>
        </w:rPr>
        <w:t>). • yang mendengarkan . . . dan yang menuruti: pendengaran yang nyata menuntut ketaatan.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