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3">
        <w:r>
          <w:rPr>
            <w:lang w:val="fr_FR" w:bidi="fr_FR"/>
          </w:rPr>
          <w:rPr>
            <w:color w:val="0000EE"/>
            <w:u w:val="single"/>
          </w:rPr>
          <w:t>Ep 6.10–17</w:t>
        </w:r>
      </w:hyperlink>
      <w:r>
        <w:rPr>
          <w:lang w:val="fr_FR" w:bidi="fr_FR"/>
        </w:rPr>
        <w:t xml:space="preserve">). • Archippe était probablement le fils de Philémon (mentionné aussi en </w:t>
      </w:r>
      <w:hyperlink r:id="rId14">
        <w:r>
          <w:rPr>
            <w:lang w:val="fr_FR" w:bidi="fr_FR"/>
          </w:rPr>
          <w:rPr>
            <w:color w:val="0000EE"/>
            <w:u w:val="single"/>
          </w:rPr>
          <w:t>Col 4.17</w:t>
        </w:r>
      </w:hyperlink>
      <w:r>
        <w:rPr>
          <w:lang w:val="fr_FR" w:bidi="fr_FR"/>
        </w:rPr>
        <w:t xml:space="preserve">). • l'Église qui est dans ta maison : les premiers chrétiens se réunissaient dans des maisons privées (voir aussi </w:t>
      </w:r>
      <w:hyperlink r:id="rId15">
        <w:r>
          <w:rPr>
            <w:lang w:val="fr_FR" w:bidi="fr_FR"/>
          </w:rPr>
          <w:rPr>
            <w:color w:val="0000EE"/>
            <w:u w:val="single"/>
          </w:rPr>
          <w:t xml:space="preserve">Rm 16.5 </w:t>
        </w:r>
      </w:hyperlink>
      <w:r>
        <w:rPr>
          <w:lang w:val="fr_FR" w:bidi="fr_FR"/>
        </w:rPr>
        <w:t xml:space="preserve">; </w:t>
      </w:r>
      <w:hyperlink r:id="rId16">
        <w:r>
          <w:rPr>
            <w:lang w:val="fr_FR" w:bidi="fr_FR"/>
          </w:rPr>
          <w:rPr>
            <w:color w:val="0000EE"/>
            <w:u w:val="single"/>
          </w:rPr>
          <w:t xml:space="preserve">1Co 16.19 </w:t>
        </w:r>
      </w:hyperlink>
      <w:r>
        <w:rPr>
          <w:lang w:val="fr_FR" w:bidi="fr_FR"/>
        </w:rPr>
        <w:t xml:space="preserve">; </w:t>
      </w:r>
      <w:hyperlink r:id="rId17">
        <w:r>
          <w:rPr>
            <w:lang w:val="fr_FR" w:bidi="fr_FR"/>
          </w:rPr>
          <w:rPr>
            <w:color w:val="0000EE"/>
            <w:u w:val="single"/>
          </w:rPr>
          <w:t>Col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hyperlink r:id="rId18">
        <w:r>
          <w:rPr>
            <w:lang w:val="fr_FR" w:bidi="fr_FR"/>
          </w:rPr>
          <w:rPr>
            <w:color w:val="0000EE"/>
            <w:u w:val="single"/>
          </w:rPr>
          <w:t>1.2</w:t>
        </w:r>
      </w:hyperlink>
      <w:r>
        <w:rPr>
          <w:lang w:val="fr_FR" w:bidi="fr_FR"/>
        </w:rPr>
        <w:t xml:space="preserve">. • La grâce et la paix correspondent respectivement aux salutations traditionnelles grecques et hébraïques. Elles sont maintenant comprises comme des dons de Dieu (cf. </w:t>
      </w:r>
      <w:hyperlink r:id="rId19">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hyperlink r:id="rId20">
        <w:r>
          <w:rPr>
            <w:lang w:val="fr_FR" w:bidi="fr_FR"/>
          </w:rPr>
          <w:rPr>
            <w:color w:val="0000EE"/>
            <w:u w:val="single"/>
          </w:rPr>
          <w:t>Rm 1.8–12</w:t>
        </w:r>
      </w:hyperlink>
      <w:r>
        <w:rPr>
          <w:lang w:val="fr_FR" w:bidi="fr_FR"/>
        </w:rPr>
        <w:t xml:space="preserve"> ; </w:t>
      </w:r>
      <w:hyperlink r:id="rId21">
        <w:r>
          <w:rPr>
            <w:lang w:val="fr_FR" w:bidi="fr_FR"/>
          </w:rPr>
          <w:rPr>
            <w:color w:val="0000EE"/>
            <w:u w:val="single"/>
          </w:rPr>
          <w:t>1Co 1.4–9</w:t>
        </w:r>
      </w:hyperlink>
      <w:r>
        <w:rPr>
          <w:lang w:val="fr_FR" w:bidi="fr_FR"/>
        </w:rPr>
        <w:t xml:space="preserve"> ; </w:t>
      </w:r>
      <w:hyperlink r:id="rId22">
        <w:r>
          <w:rPr>
            <w:lang w:val="fr_FR" w:bidi="fr_FR"/>
          </w:rPr>
          <w:rPr>
            <w:color w:val="0000EE"/>
            <w:u w:val="single"/>
          </w:rPr>
          <w:t>2Co 1.3–11</w:t>
        </w:r>
      </w:hyperlink>
      <w:r>
        <w:rPr>
          <w:lang w:val="fr_FR" w:bidi="fr_FR"/>
        </w:rPr>
        <w:t xml:space="preserve"> ; voir contraste en </w:t>
      </w:r>
      <w:hyperlink r:id="rId23">
        <w:r>
          <w:rPr>
            <w:lang w:val="fr_FR" w:bidi="fr_FR"/>
          </w:rPr>
          <w:rPr>
            <w:color w:val="0000EE"/>
            <w:u w:val="single"/>
          </w:rPr>
          <w:t>Ga 1.6–10</w:t>
        </w:r>
      </w:hyperlink>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hyperlink r:id="rId24">
        <w:r>
          <w:rPr>
            <w:lang w:val="fr_FR" w:bidi="fr_FR"/>
          </w:rPr>
          <w:rPr>
            <w:color w:val="0000EE"/>
            <w:u w:val="single"/>
          </w:rPr>
          <w:t>1.5–7</w:t>
        </w:r>
      </w:hyperlink>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hyperlink r:id="rId25">
        <w:r>
          <w:rPr>
            <w:lang w:val="fr_FR" w:bidi="fr_FR"/>
          </w:rPr>
          <w:rPr>
            <w:color w:val="0000EE"/>
            <w:u w:val="single"/>
          </w:rPr>
          <w:t>1.20</w:t>
        </w:r>
      </w:hyperlink>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hyperlink r:id="rId26">
        <w:r>
          <w:rPr>
            <w:lang w:val="fr_FR" w:bidi="fr_FR"/>
          </w:rPr>
          <w:rPr>
            <w:color w:val="0000EE"/>
            <w:u w:val="single"/>
          </w:rPr>
          <w:t>1.21</w:t>
        </w:r>
      </w:hyperlink>
      <w:r>
        <w:rPr>
          <w:lang w:val="fr_FR" w:bidi="fr_FR"/>
        </w:rPr>
        <w:t>). La vie chrétienne se vit comme une réponse libre à la grâce de Dieu (</w:t>
      </w:r>
      <w:hyperlink r:id="rId27">
        <w:r>
          <w:rPr>
            <w:lang w:val="fr_FR" w:bidi="fr_FR"/>
          </w:rPr>
          <w:rPr>
            <w:color w:val="0000EE"/>
            <w:u w:val="single"/>
          </w:rPr>
          <w:t>Rm 12.1</w:t>
        </w:r>
      </w:hyperlink>
      <w:r>
        <w:rPr>
          <w:lang w:val="fr_FR" w:bidi="fr_FR"/>
        </w:rPr>
        <w:t xml:space="preserve"> ; </w:t>
      </w:r>
      <w:hyperlink r:id="rId28">
        <w:r>
          <w:rPr>
            <w:lang w:val="fr_FR" w:bidi="fr_FR"/>
          </w:rPr>
          <w:rPr>
            <w:color w:val="0000EE"/>
            <w:u w:val="single"/>
          </w:rPr>
          <w:t>Ep 4.1</w:t>
        </w:r>
      </w:hyperlink>
      <w:r>
        <w:rPr>
          <w:lang w:val="fr_FR" w:bidi="fr_FR"/>
        </w:rPr>
        <w:t xml:space="preserve"> ; </w:t>
      </w:r>
      <w:hyperlink r:id="rId29">
        <w:r>
          <w:rPr>
            <w:lang w:val="fr_FR" w:bidi="fr_FR"/>
          </w:rPr>
          <w:rPr>
            <w:color w:val="0000EE"/>
            <w:u w:val="single"/>
          </w:rPr>
          <w:t>Col 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0">
        <w:r>
          <w:rPr>
            <w:lang w:val="fr_FR" w:bidi="fr_FR"/>
          </w:rPr>
          <w:rPr>
            <w:color w:val="0000EE"/>
            <w:u w:val="single"/>
          </w:rPr>
          <w:t>Col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hyperlink r:id="rId3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hyperlink r:id="rId32">
        <w:r>
          <w:rPr>
            <w:lang w:val="fr_FR" w:bidi="fr_FR"/>
          </w:rPr>
          <w:rPr>
            <w:color w:val="0000EE"/>
            <w:u w:val="single"/>
          </w:rPr>
          <w:t>1.13–14</w:t>
        </w:r>
      </w:hyperlink>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hyperlink r:id="rId30">
        <w:r>
          <w:rPr>
            <w:lang w:val="fr_FR" w:bidi="fr_FR"/>
          </w:rPr>
          <w:rPr>
            <w:color w:val="0000EE"/>
            <w:u w:val="single"/>
          </w:rPr>
          <w:t>Col 1.7</w:t>
        </w:r>
      </w:hyperlink>
      <w:r>
        <w:rPr>
          <w:lang w:val="fr_FR" w:bidi="fr_FR"/>
        </w:rPr>
        <w:t xml:space="preserve"> ; </w:t>
      </w:r>
      <w:hyperlink r:id="rId3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hyperlink r:id="rId34">
        <w:r>
          <w:rPr>
            <w:lang w:val="fr_FR" w:bidi="fr_FR"/>
          </w:rPr>
          <w:rPr>
            <w:color w:val="0000EE"/>
            <w:u w:val="single"/>
          </w:rPr>
          <w:t>Col 4.7–18</w:t>
        </w:r>
      </w:hyperlink>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hyperlink r:id="rId35">
        <w:r>
          <w:rPr>
            <w:lang w:val="fr_FR" w:bidi="fr_FR"/>
          </w:rPr>
          <w:rPr>
            <w:color w:val="0000EE"/>
            <w:u w:val="single"/>
          </w:rPr>
          <w:t>Col 4.10</w:t>
        </w:r>
      </w:hyperlink>
      <w:r>
        <w:rPr>
          <w:lang w:val="fr_FR" w:bidi="fr_FR"/>
        </w:rPr>
        <w:t xml:space="preserve">, </w:t>
      </w:r>
      <w:hyperlink r:id="rId36">
        <w:r>
          <w:rPr>
            <w:lang w:val="fr_FR" w:bidi="fr_FR"/>
          </w:rPr>
          <w:rPr>
            <w:color w:val="0000EE"/>
            <w:u w:val="single"/>
          </w:rPr>
          <w:t>14</w:t>
        </w:r>
      </w:hyperlink>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hyperlink r:id="rId37">
        <w:r>
          <w:rPr>
            <w:lang w:val="fr_FR" w:bidi="fr_FR"/>
          </w:rPr>
          <w:rPr>
            <w:color w:val="0000EE"/>
            <w:u w:val="single"/>
          </w:rPr>
          <w:t>Ac 19.29</w:t>
        </w:r>
      </w:hyperlink>
      <w:r>
        <w:rPr>
          <w:lang w:val="fr_FR" w:bidi="fr_FR"/>
        </w:rPr>
        <w:t xml:space="preserve"> ; </w:t>
      </w:r>
      <w:hyperlink r:id="rId38">
        <w:r>
          <w:rPr>
            <w:lang w:val="fr_FR" w:bidi="fr_FR"/>
          </w:rPr>
          <w:rPr>
            <w:color w:val="0000EE"/>
            <w:u w:val="single"/>
          </w:rPr>
          <w:t>20.4</w:t>
        </w:r>
      </w:hyperlink>
      <w:r>
        <w:rPr>
          <w:lang w:val="fr_FR" w:bidi="fr_FR"/>
        </w:rPr>
        <w:t xml:space="preserve"> ; </w:t>
      </w:r>
      <w:hyperlink r:id="rId39">
        <w:r>
          <w:rPr>
            <w:lang w:val="fr_FR" w:bidi="fr_FR"/>
          </w:rPr>
          <w:rPr>
            <w:color w:val="0000EE"/>
            <w:u w:val="single"/>
          </w:rPr>
          <w:t>27.2</w:t>
        </w:r>
      </w:hyperlink>
      <w:r>
        <w:rPr>
          <w:lang w:val="fr_FR" w:bidi="fr_FR"/>
        </w:rPr>
        <w:t>). • Démas était un compagnon d'œuvre qui a ensuite abandonné Paul (</w:t>
      </w:r>
      <w:hyperlink r:id="rId40">
        <w:r>
          <w:rPr>
            <w:lang w:val="fr_FR" w:bidi="fr_FR"/>
          </w:rPr>
          <w:rPr>
            <w:color w:val="0000EE"/>
            <w:u w:val="single"/>
          </w:rPr>
          <w:t>2Tm 4.10</w:t>
        </w:r>
      </w:hyperlink>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5-Phlm1:7" TargetMode="External"/><Relationship Id="rId25" Type="http://schemas.openxmlformats.org/officeDocument/2006/relationships/hyperlink" Target="https://ref.ly/Phlm1:20" TargetMode="External"/><Relationship Id="rId26" Type="http://schemas.openxmlformats.org/officeDocument/2006/relationships/hyperlink" Target="https://ref.ly/Phlm1:21" TargetMode="External"/><Relationship Id="rId27" Type="http://schemas.openxmlformats.org/officeDocument/2006/relationships/hyperlink" Target="https://ref.ly/Rom12:1" TargetMode="External"/><Relationship Id="rId28" Type="http://schemas.openxmlformats.org/officeDocument/2006/relationships/hyperlink" Target="https://ref.ly/Eph4:1" TargetMode="External"/><Relationship Id="rId29" Type="http://schemas.openxmlformats.org/officeDocument/2006/relationships/hyperlink" Target="https://ref.ly/Col3:12-Col3:13" TargetMode="External"/><Relationship Id="rId30" Type="http://schemas.openxmlformats.org/officeDocument/2006/relationships/hyperlink" Target="https://ref.ly/Col1:7" TargetMode="External"/><Relationship Id="rId31" Type="http://schemas.openxmlformats.org/officeDocument/2006/relationships/hyperlink" Target="https://ref.ly/Phlm1:11" TargetMode="External"/><Relationship Id="rId32" Type="http://schemas.openxmlformats.org/officeDocument/2006/relationships/hyperlink" Target="https://ref.ly/Phlm1:13-Phlm1:14" TargetMode="External"/><Relationship Id="rId33" Type="http://schemas.openxmlformats.org/officeDocument/2006/relationships/hyperlink" Target="https://ref.ly/Col4:12" TargetMode="External"/><Relationship Id="rId34" Type="http://schemas.openxmlformats.org/officeDocument/2006/relationships/hyperlink" Target="https://ref.ly/Col4:7-Col4:18" TargetMode="External"/><Relationship Id="rId35" Type="http://schemas.openxmlformats.org/officeDocument/2006/relationships/hyperlink" Target="https://ref.ly/Col4:10" TargetMode="External"/><Relationship Id="rId36" Type="http://schemas.openxmlformats.org/officeDocument/2006/relationships/hyperlink" Target="https://ref.ly/Col4:14" TargetMode="External"/><Relationship Id="rId37" Type="http://schemas.openxmlformats.org/officeDocument/2006/relationships/hyperlink" Target="https://ref.ly/Acts19:29" TargetMode="External"/><Relationship Id="rId38" Type="http://schemas.openxmlformats.org/officeDocument/2006/relationships/hyperlink" Target="https://ref.ly/Acts20:4" TargetMode="External"/><Relationship Id="rId39" Type="http://schemas.openxmlformats.org/officeDocument/2006/relationships/hyperlink" Target="https://ref.ly/Acts27:2" TargetMode="External"/><Relationship Id="rId40"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