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lang w:val="id_ID" w:bidi="id_ID"/>
        </w:rPr>
        <w:t xml:space="preserve">Anak Manusia: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Bahasa Yunani menerjemahkan frasa Ibrani dan Aram yang artinya "manusia." Orang-orang pada saat itu tidak sepenuhnya yakin apa yang dimaksudkan oleh Yesus (lihat </w:t>
      </w:r>
      <w:hyperlink r:id="rId402">
        <w:r>
          <w:rPr>
            <w:lang w:val="id_ID" w:bidi="id_ID"/>
          </w:rPr>
          <w:rPr>
            <w:color w:val="0000EE"/>
            <w:u w:val="single"/>
          </w:rPr>
          <w:t>Yoh. 12:34</w:t>
        </w:r>
      </w:hyperlink>
      <w:r>
        <w:rPr>
          <w:lang w:val="id_ID" w:bidi="id_ID"/>
        </w:rPr>
        <w:t xml:space="preserve">). Namun, itu menandakan identitas Yesus baik sebagai manusia maupun sebagai Mesias (bdk. </w:t>
      </w:r>
      <w:hyperlink r:id="rId107">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Anak Allah adalah sukarela. Yesus bukan martir atau korban.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