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hyperlink r:id="rId13">
        <w:r>
          <w:rPr>
            <w:lang w:val="pt_PT" w:bidi="pt_PT"/>
          </w:rPr>
          <w:rPr>
            <w:color w:val="0000EE"/>
            <w:u w:val="single"/>
          </w:rPr>
          <w:t>Dt 4.9</w:t>
        </w:r>
      </w:hyperlink>
      <w:r>
        <w:rPr>
          <w:lang w:val="pt_PT" w:bidi="pt_PT"/>
        </w:rPr>
        <w:t xml:space="preserve">; </w:t>
      </w:r>
      <w:hyperlink r:id="rId14">
        <w:r>
          <w:rPr>
            <w:lang w:val="pt_PT" w:bidi="pt_PT"/>
          </w:rPr>
          <w:rPr>
            <w:color w:val="0000EE"/>
            <w:u w:val="single"/>
          </w:rPr>
          <w:t>6.20–25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hyperlink r:id="rId15">
        <w:r>
          <w:rPr>
            <w:lang w:val="pt_PT" w:bidi="pt_PT"/>
          </w:rPr>
          <w:rPr>
            <w:color w:val="0000EE"/>
            <w:u w:val="single"/>
          </w:rPr>
          <w:t>Êx 29.38–41</w:t>
        </w:r>
      </w:hyperlink>
      <w:r>
        <w:rPr>
          <w:lang w:val="pt_PT" w:bidi="pt_PT"/>
        </w:rPr>
        <w:t xml:space="preserve">; </w:t>
      </w:r>
      <w:hyperlink r:id="rId16">
        <w:r>
          <w:rPr>
            <w:lang w:val="pt_PT" w:bidi="pt_PT"/>
          </w:rPr>
          <w:rPr>
            <w:color w:val="0000EE"/>
            <w:u w:val="single"/>
          </w:rPr>
          <w:t>Nm 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hyperlink r:id="rId17">
        <w:r>
          <w:rPr>
            <w:lang w:val="pt_PT" w:bidi="pt_PT"/>
          </w:rPr>
          <w:rPr>
            <w:color w:val="0000EE"/>
            <w:u w:val="single"/>
          </w:rPr>
          <w:t>1.19–20</w:t>
        </w:r>
      </w:hyperlink>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hyperlink r:id="rId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hyperlink r:id="rId19">
        <w:r>
          <w:rPr>
            <w:lang w:val="pt_PT" w:bidi="pt_PT"/>
          </w:rPr>
          <w:rPr>
            <w:color w:val="0000EE"/>
            <w:u w:val="single"/>
          </w:rPr>
          <w:t>Am 5.18</w:t>
        </w:r>
      </w:hyperlink>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hyperlink r:id="rId20">
        <w:r>
          <w:rPr>
            <w:lang w:val="pt_PT" w:bidi="pt_PT"/>
          </w:rPr>
          <w:rPr>
            <w:color w:val="0000EE"/>
            <w:u w:val="single"/>
          </w:rPr>
          <w:t>Gn 3.17–18</w:t>
        </w:r>
      </w:hyperlink>
      <w:r>
        <w:rPr>
          <w:lang w:val="pt_PT" w:bidi="pt_PT"/>
        </w:rPr>
        <w:t xml:space="preserve">; </w:t>
      </w:r>
      <w:hyperlink r:id="rId21">
        <w:r>
          <w:rPr>
            <w:lang w:val="pt_PT" w:bidi="pt_PT"/>
          </w:rPr>
          <w:rPr>
            <w:color w:val="0000EE"/>
            <w:u w:val="single"/>
          </w:rPr>
          <w:t>9.2</w:t>
        </w:r>
      </w:hyperlink>
      <w:r>
        <w:rPr>
          <w:lang w:val="pt_PT" w:bidi="pt_PT"/>
        </w:rPr>
        <w:t xml:space="preserve">; </w:t>
      </w:r>
      <w:hyperlink r:id="rId22">
        <w:r>
          <w:rPr>
            <w:lang w:val="pt_PT" w:bidi="pt_PT"/>
          </w:rPr>
          <w:rPr>
            <w:color w:val="0000EE"/>
            <w:u w:val="single"/>
          </w:rPr>
          <w:t>Rm 8.20–21</w:t>
        </w:r>
      </w:hyperlink>
      <w:r>
        <w:rPr>
          <w:lang w:val="pt_PT" w:bidi="pt_PT"/>
        </w:rPr>
        <w:t xml:space="preserve">) — até mesmo os animais selvagens clamam a Deus. A palavra hebraica traduzida como “clamar” é a mesma usada em </w:t>
      </w:r>
      <w:hyperlink r:id="rId23">
        <w:r>
          <w:rPr>
            <w:lang w:val="pt_PT" w:bidi="pt_PT"/>
          </w:rPr>
          <w:rPr>
            <w:color w:val="0000EE"/>
            <w:u w:val="single"/>
          </w:rPr>
          <w:t>Sl 42.1</w:t>
        </w:r>
      </w:hyperlink>
      <w:r>
        <w:rPr>
          <w:lang w:val="pt_PT" w:bidi="pt_PT"/>
        </w:rPr>
        <w:t xml:space="preserve"> do cervo que “anseia” por correntes de água. As feras, necessitando urgentemente de seu alimento e bebida, dão um exemplo de como o povo de Judá e Jerusalém deve buscar seu Senhor (cp. </w:t>
      </w:r>
      <w:hyperlink r:id="rId24">
        <w:r>
          <w:rPr>
            <w:lang w:val="pt_PT" w:bidi="pt_PT"/>
          </w:rPr>
          <w:rPr>
            <w:color w:val="0000EE"/>
            <w:u w:val="single"/>
          </w:rPr>
          <w:t>Is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hyperlink r:id="rId25">
        <w:r>
          <w:rPr>
            <w:lang w:val="pt_PT" w:bidi="pt_PT"/>
          </w:rPr>
          <w:rPr>
            <w:color w:val="0000EE"/>
            <w:u w:val="single"/>
          </w:rPr>
          <w:t>2.15</w:t>
        </w:r>
      </w:hyperlink>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hyperlink r:id="rId26">
        <w:r>
          <w:rPr>
            <w:lang w:val="pt_PT" w:bidi="pt_PT"/>
          </w:rPr>
          <w:rPr>
            <w:color w:val="0000EE"/>
            <w:u w:val="single"/>
          </w:rPr>
          <w:t>1</w:t>
        </w:r>
      </w:hyperlink>
      <w:r>
        <w:rPr>
          <w:lang w:val="pt_PT" w:bidi="pt_PT"/>
        </w:rPr>
        <w:t xml:space="preserve">, mas no capítulo </w:t>
      </w:r>
      <w:hyperlink r:id="rId26">
        <w:r>
          <w:rPr>
            <w:lang w:val="pt_PT" w:bidi="pt_PT"/>
          </w:rPr>
          <w:rPr>
            <w:color w:val="0000EE"/>
            <w:u w:val="single"/>
          </w:rPr>
          <w:t>1</w:t>
        </w:r>
      </w:hyperlink>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hyperlink r:id="rId27">
        <w:r>
          <w:rPr>
            <w:lang w:val="pt_PT" w:bidi="pt_PT"/>
          </w:rPr>
          <w:rPr>
            <w:color w:val="0000EE"/>
            <w:u w:val="single"/>
          </w:rPr>
          <w:t>Sf 1.15</w:t>
        </w:r>
      </w:hyperlink>
      <w:r>
        <w:rPr>
          <w:lang w:val="pt_PT" w:bidi="pt_PT"/>
        </w:rPr>
        <w:t xml:space="preserve">), Joel proclamou que, em vez disso, seria um dia de trevas e escuridão (veja também </w:t>
      </w:r>
      <w:hyperlink r:id="rId28">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hyperlink r:id="rId29">
        <w:r>
          <w:rPr>
            <w:lang w:val="pt_PT" w:bidi="pt_PT"/>
          </w:rPr>
          <w:rPr>
            <w:color w:val="0000EE"/>
            <w:u w:val="single"/>
          </w:rPr>
          <w:t>Is 51.3</w:t>
        </w:r>
      </w:hyperlink>
      <w:r>
        <w:rPr>
          <w:lang w:val="pt_PT" w:bidi="pt_PT"/>
        </w:rPr>
        <w:t xml:space="preserve"> e </w:t>
      </w:r>
      <w:hyperlink r:id="rId30">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hyperlink r:id="rId31">
        <w:r>
          <w:rPr>
            <w:lang w:val="pt_PT" w:bidi="pt_PT"/>
          </w:rPr>
          <w:rPr>
            <w:color w:val="0000EE"/>
            <w:u w:val="single"/>
          </w:rPr>
          <w:t>Ap 9.7</w:t>
        </w:r>
      </w:hyperlink>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hyperlink r:id="rId32">
        <w:r>
          <w:rPr>
            <w:lang w:val="pt_PT" w:bidi="pt_PT"/>
          </w:rPr>
          <w:rPr>
            <w:color w:val="0000EE"/>
            <w:u w:val="single"/>
          </w:rPr>
          <w:t>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hyperlink r:id="rId33">
        <w:r>
          <w:rPr>
            <w:lang w:val="pt_PT" w:bidi="pt_PT"/>
          </w:rPr>
          <w:rPr>
            <w:color w:val="0000EE"/>
            <w:u w:val="single"/>
          </w:rPr>
          <w:t>Êx 19.16–19</w:t>
        </w:r>
      </w:hyperlink>
      <w:r>
        <w:rPr>
          <w:lang w:val="pt_PT" w:bidi="pt_PT"/>
        </w:rPr>
        <w:t xml:space="preserve">; </w:t>
      </w:r>
      <w:hyperlink r:id="rId34">
        <w:r>
          <w:rPr>
            <w:lang w:val="pt_PT" w:bidi="pt_PT"/>
          </w:rPr>
          <w:rPr>
            <w:color w:val="0000EE"/>
            <w:u w:val="single"/>
          </w:rPr>
          <w:t>Is 13.13</w:t>
        </w:r>
      </w:hyperlink>
      <w:r>
        <w:rPr>
          <w:lang w:val="pt_PT" w:bidi="pt_PT"/>
        </w:rPr>
        <w:t xml:space="preserve">; </w:t>
      </w:r>
      <w:hyperlink r:id="rId35">
        <w:r>
          <w:rPr>
            <w:lang w:val="pt_PT" w:bidi="pt_PT"/>
          </w:rPr>
          <w:rPr>
            <w:color w:val="0000EE"/>
            <w:u w:val="single"/>
          </w:rPr>
          <w:t>Na 1.5–6</w:t>
        </w:r>
      </w:hyperlink>
      <w:r>
        <w:rPr>
          <w:lang w:val="pt_PT" w:bidi="pt_PT"/>
        </w:rPr>
        <w:t>). O escurecimento do sol e da lua simboliza o julgamento divino (</w:t>
      </w:r>
      <w:hyperlink r:id="rId36">
        <w:r>
          <w:rPr>
            <w:lang w:val="pt_PT" w:bidi="pt_PT"/>
          </w:rPr>
          <w:rPr>
            <w:color w:val="0000EE"/>
            <w:u w:val="single"/>
          </w:rPr>
          <w:t>Is 13.9–11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hyperlink r:id="rId37">
        <w:r>
          <w:rPr>
            <w:lang w:val="pt_PT" w:bidi="pt_PT"/>
          </w:rPr>
          <w:rPr>
            <w:color w:val="0000EE"/>
            <w:u w:val="single"/>
          </w:rPr>
          <w:t>3.1</w:t>
        </w:r>
      </w:hyperlink>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hyperlink r:id="rId38">
        <w:r>
          <w:rPr>
            <w:lang w:val="pt_PT" w:bidi="pt_PT"/>
          </w:rPr>
          <w:rPr>
            <w:color w:val="0000EE"/>
            <w:u w:val="single"/>
          </w:rPr>
          <w:t>Gn 37.34</w:t>
        </w:r>
      </w:hyperlink>
      <w:r>
        <w:rPr>
          <w:lang w:val="pt_PT" w:bidi="pt_PT"/>
        </w:rPr>
        <w:t xml:space="preserve">; </w:t>
      </w:r>
      <w:hyperlink r:id="rId39">
        <w:r>
          <w:rPr>
            <w:lang w:val="pt_PT" w:bidi="pt_PT"/>
          </w:rPr>
          <w:rPr>
            <w:color w:val="0000EE"/>
            <w:u w:val="single"/>
          </w:rPr>
          <w:t>2Sm 3.31</w:t>
        </w:r>
      </w:hyperlink>
      <w:r>
        <w:rPr>
          <w:lang w:val="pt_PT" w:bidi="pt_PT"/>
        </w:rPr>
        <w:t xml:space="preserve">; </w:t>
      </w:r>
      <w:hyperlink r:id="rId40">
        <w:r>
          <w:rPr>
            <w:lang w:val="pt_PT" w:bidi="pt_PT"/>
          </w:rPr>
          <w:rPr>
            <w:color w:val="0000EE"/>
            <w:u w:val="single"/>
          </w:rPr>
          <w:t>2Rs 19.1</w:t>
        </w:r>
      </w:hyperlink>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1">
        <w:r>
          <w:rPr>
            <w:lang w:val="pt_PT" w:bidi="pt_PT"/>
          </w:rPr>
          <w:rPr>
            <w:color w:val="0000EE"/>
            <w:u w:val="single"/>
          </w:rPr>
          <w:t>Êx 34.6–7</w:t>
        </w:r>
      </w:hyperlink>
      <w:r>
        <w:rPr>
          <w:lang w:val="pt_PT" w:bidi="pt_PT"/>
        </w:rPr>
        <w:t xml:space="preserve">; </w:t>
      </w:r>
      <w:hyperlink r:id="rId42">
        <w:r>
          <w:rPr>
            <w:lang w:val="pt_PT" w:bidi="pt_PT"/>
          </w:rPr>
          <w:rPr>
            <w:color w:val="0000EE"/>
            <w:u w:val="single"/>
          </w:rPr>
          <w:t>Nm 14.18</w:t>
        </w:r>
      </w:hyperlink>
      <w:r>
        <w:rPr>
          <w:lang w:val="pt_PT" w:bidi="pt_PT"/>
        </w:rPr>
        <w:t xml:space="preserve">; </w:t>
      </w:r>
      <w:hyperlink r:id="rId43">
        <w:r>
          <w:rPr>
            <w:lang w:val="pt_PT" w:bidi="pt_PT"/>
          </w:rPr>
          <w:rPr>
            <w:color w:val="0000EE"/>
            <w:u w:val="single"/>
          </w:rPr>
          <w:t>Ne 9.17</w:t>
        </w:r>
      </w:hyperlink>
      <w:r>
        <w:rPr>
          <w:lang w:val="pt_PT" w:bidi="pt_PT"/>
        </w:rPr>
        <w:t xml:space="preserve">; </w:t>
      </w:r>
      <w:hyperlink r:id="rId44">
        <w:r>
          <w:rPr>
            <w:lang w:val="pt_PT" w:bidi="pt_PT"/>
          </w:rPr>
          <w:rPr>
            <w:color w:val="0000EE"/>
            <w:u w:val="single"/>
          </w:rPr>
          <w:t>Sl 86.15</w:t>
        </w:r>
      </w:hyperlink>
      <w:r>
        <w:rPr>
          <w:lang w:val="pt_PT" w:bidi="pt_PT"/>
        </w:rPr>
        <w:t xml:space="preserve">; </w:t>
      </w:r>
      <w:hyperlink r:id="rId45">
        <w:r>
          <w:rPr>
            <w:lang w:val="pt_PT" w:bidi="pt_PT"/>
          </w:rPr>
          <w:rPr>
            <w:color w:val="0000EE"/>
            <w:u w:val="single"/>
          </w:rPr>
          <w:t>103.8</w:t>
        </w:r>
      </w:hyperlink>
      <w:r>
        <w:rPr>
          <w:lang w:val="pt_PT" w:bidi="pt_PT"/>
        </w:rPr>
        <w:t xml:space="preserve">; </w:t>
      </w:r>
      <w:hyperlink r:id="rId46">
        <w:r>
          <w:rPr>
            <w:lang w:val="pt_PT" w:bidi="pt_PT"/>
          </w:rPr>
          <w:rPr>
            <w:color w:val="0000EE"/>
            <w:u w:val="single"/>
          </w:rPr>
          <w:t>145.8</w:t>
        </w:r>
      </w:hyperlink>
      <w:r>
        <w:rPr>
          <w:lang w:val="pt_PT" w:bidi="pt_PT"/>
        </w:rPr>
        <w:t xml:space="preserve">; </w:t>
      </w:r>
      <w:hyperlink r:id="rId47">
        <w:r>
          <w:rPr>
            <w:lang w:val="pt_PT" w:bidi="pt_PT"/>
          </w:rPr>
          <w:rPr>
            <w:color w:val="0000EE"/>
            <w:u w:val="single"/>
          </w:rPr>
          <w:t>Jn 4.2</w:t>
        </w:r>
      </w:hyperlink>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hyperlink r:id="rId48">
        <w:r>
          <w:rPr>
            <w:lang w:val="pt_PT" w:bidi="pt_PT"/>
          </w:rPr>
          <w:rPr>
            <w:color w:val="0000EE"/>
            <w:u w:val="single"/>
          </w:rPr>
          <w:t>Jn 3.9</w:t>
        </w:r>
      </w:hyperlink>
      <w:r>
        <w:rPr>
          <w:lang w:val="pt_PT" w:bidi="pt_PT"/>
        </w:rPr>
        <w:t>). Deus não é obrigado a nos restaurar apenas porque realizamos certos rituais. O perdão vem somente através da graça divina, mas Joel sabia que Deus estava inclinado a perdoar (</w:t>
      </w:r>
      <w:hyperlink r:id="rId18">
        <w:r>
          <w:rPr>
            <w:lang w:val="pt_PT" w:bidi="pt_PT"/>
          </w:rPr>
          <w:rPr>
            <w:color w:val="0000EE"/>
            <w:u w:val="single"/>
          </w:rPr>
          <w:t>Jl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hyperlink r:id="rId49">
        <w:r>
          <w:rPr>
            <w:lang w:val="pt_PT" w:bidi="pt_PT"/>
          </w:rPr>
          <w:rPr>
            <w:color w:val="0000EE"/>
            <w:u w:val="single"/>
          </w:rPr>
          <w:t>Dt 24.5</w:t>
        </w:r>
      </w:hyperlink>
      <w:r>
        <w:rPr>
          <w:lang w:val="pt_PT" w:bidi="pt_PT"/>
        </w:rPr>
        <w:t xml:space="preserve">; </w:t>
      </w:r>
      <w:hyperlink r:id="rId50">
        <w:r>
          <w:rPr>
            <w:lang w:val="pt_PT" w:bidi="pt_PT"/>
          </w:rPr>
          <w:rPr>
            <w:color w:val="0000EE"/>
            <w:u w:val="single"/>
          </w:rPr>
          <w:t>Lc 14.20</w:t>
        </w:r>
      </w:hyperlink>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hyperlink r:id="rId51">
        <w:r>
          <w:rPr>
            <w:lang w:val="pt_PT" w:bidi="pt_PT"/>
          </w:rPr>
          <w:rPr>
            <w:color w:val="0000EE"/>
            <w:u w:val="single"/>
          </w:rPr>
          <w:t>1.10</w:t>
        </w:r>
      </w:hyperlink>
      <w:r>
        <w:rPr>
          <w:lang w:val="pt_PT" w:bidi="pt_PT"/>
        </w:rPr>
        <w:t xml:space="preserve">, </w:t>
      </w:r>
      <w:hyperlink r:id="rId52">
        <w:r>
          <w:rPr>
            <w:lang w:val="pt_PT" w:bidi="pt_PT"/>
          </w:rPr>
          <w:rPr>
            <w:color w:val="0000EE"/>
            <w:u w:val="single"/>
          </w:rPr>
          <w:t>13</w:t>
        </w:r>
      </w:hyperlink>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hyperlink r:id="rId53">
        <w:r>
          <w:rPr>
            <w:lang w:val="pt_PT" w:bidi="pt_PT"/>
          </w:rPr>
          <w:rPr>
            <w:color w:val="0000EE"/>
            <w:u w:val="single"/>
          </w:rPr>
          <w:t>1.12</w:t>
        </w:r>
      </w:hyperlink>
      <w:r>
        <w:rPr>
          <w:lang w:val="pt_PT" w:bidi="pt_PT"/>
        </w:rPr>
        <w:t xml:space="preserve">, </w:t>
      </w:r>
      <w:hyperlink r:id="rId54">
        <w:r>
          <w:rPr>
            <w:lang w:val="pt_PT" w:bidi="pt_PT"/>
          </w:rPr>
          <w:rPr>
            <w:color w:val="0000EE"/>
            <w:u w:val="single"/>
          </w:rPr>
          <w:t>20</w:t>
        </w:r>
      </w:hyperlink>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hyperlink r:id="rId55">
        <w:r>
          <w:rPr>
            <w:lang w:val="pt_PT" w:bidi="pt_PT"/>
          </w:rPr>
          <w:rPr>
            <w:color w:val="0000EE"/>
            <w:u w:val="single"/>
          </w:rPr>
          <w:t>1.4</w:t>
        </w:r>
      </w:hyperlink>
      <w:r>
        <w:rPr>
          <w:lang w:val="pt_PT" w:bidi="pt_PT"/>
        </w:rPr>
        <w:t>,</w:t>
      </w:r>
      <w:hyperlink r:id="rId51">
        <w:r>
          <w:rPr>
            <w:lang w:val="pt_PT" w:bidi="pt_PT"/>
          </w:rPr>
          <w:rPr>
            <w:color w:val="0000EE"/>
            <w:u w:val="single"/>
          </w:rPr>
          <w:t>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hyperlink r:id="rId56">
        <w:r>
          <w:rPr>
            <w:lang w:val="pt_PT" w:bidi="pt_PT"/>
          </w:rPr>
          <w:rPr>
            <w:color w:val="0000EE"/>
            <w:u w:val="single"/>
          </w:rPr>
          <w:t>Jz 3.10</w:t>
        </w:r>
      </w:hyperlink>
      <w:r>
        <w:rPr>
          <w:lang w:val="pt_PT" w:bidi="pt_PT"/>
        </w:rPr>
        <w:t xml:space="preserve">; </w:t>
      </w:r>
      <w:hyperlink r:id="rId57">
        <w:r>
          <w:rPr>
            <w:lang w:val="pt_PT" w:bidi="pt_PT"/>
          </w:rPr>
          <w:rPr>
            <w:color w:val="0000EE"/>
            <w:u w:val="single"/>
          </w:rPr>
          <w:t>15.14</w:t>
        </w:r>
      </w:hyperlink>
      <w:r>
        <w:rPr>
          <w:lang w:val="pt_PT" w:bidi="pt_PT"/>
        </w:rPr>
        <w:t>), sacerdotes (</w:t>
      </w:r>
      <w:hyperlink r:id="rId58">
        <w:r>
          <w:rPr>
            <w:lang w:val="pt_PT" w:bidi="pt_PT"/>
          </w:rPr>
          <w:rPr>
            <w:color w:val="0000EE"/>
            <w:u w:val="single"/>
          </w:rPr>
          <w:t>2Cr 24.20</w:t>
        </w:r>
      </w:hyperlink>
      <w:r>
        <w:rPr>
          <w:lang w:val="pt_PT" w:bidi="pt_PT"/>
        </w:rPr>
        <w:t>), reis (</w:t>
      </w:r>
      <w:hyperlink r:id="rId59">
        <w:r>
          <w:rPr>
            <w:lang w:val="pt_PT" w:bidi="pt_PT"/>
          </w:rPr>
          <w:rPr>
            <w:color w:val="0000EE"/>
            <w:u w:val="single"/>
          </w:rPr>
          <w:t>1Sm 10.10</w:t>
        </w:r>
      </w:hyperlink>
      <w:r>
        <w:rPr>
          <w:lang w:val="pt_PT" w:bidi="pt_PT"/>
        </w:rPr>
        <w:t>) e profetas (</w:t>
      </w:r>
      <w:hyperlink r:id="rId60">
        <w:r>
          <w:rPr>
            <w:lang w:val="pt_PT" w:bidi="pt_PT"/>
          </w:rPr>
          <w:rPr>
            <w:color w:val="0000EE"/>
            <w:u w:val="single"/>
          </w:rPr>
          <w:t>Is 61.1</w:t>
        </w:r>
      </w:hyperlink>
      <w:r>
        <w:rPr>
          <w:lang w:val="pt_PT" w:bidi="pt_PT"/>
        </w:rPr>
        <w:t>). Um tempo estava chegando quando o Espírito seria dado a cada um do povo de Deus, independentemente de gênero, idade ou posição social. Em cumprimento ao desejo de Moisés de que todo israelita pudesse ser um profeta (</w:t>
      </w:r>
      <w:hyperlink r:id="rId61">
        <w:r>
          <w:rPr>
            <w:lang w:val="pt_PT" w:bidi="pt_PT"/>
          </w:rPr>
          <w:rPr>
            <w:color w:val="0000EE"/>
            <w:u w:val="single"/>
          </w:rPr>
          <w:t>Nm 11.29</w:t>
        </w:r>
      </w:hyperlink>
      <w:r>
        <w:rPr>
          <w:lang w:val="pt_PT" w:bidi="pt_PT"/>
        </w:rPr>
        <w:t xml:space="preserve">), todos profetizariam e teriam visões. Em </w:t>
      </w:r>
      <w:hyperlink r:id="rId62">
        <w:r>
          <w:rPr>
            <w:lang w:val="pt_PT" w:bidi="pt_PT"/>
          </w:rPr>
          <w:rPr>
            <w:color w:val="0000EE"/>
            <w:u w:val="single"/>
          </w:rPr>
          <w:t>Atos 2.1–47</w:t>
        </w:r>
      </w:hyperlink>
      <w:r>
        <w:rPr>
          <w:lang w:val="pt_PT" w:bidi="pt_PT"/>
        </w:rPr>
        <w:t>, Pedro expandiu essa promessa para incluir pessoas de todo o mundo conhecido que estavam reunidas em Jerusalém, independentemente de sua etnia (</w:t>
      </w:r>
      <w:hyperlink r:id="rId63">
        <w:r>
          <w:rPr>
            <w:lang w:val="pt_PT" w:bidi="pt_PT"/>
          </w:rPr>
          <w:rPr>
            <w:color w:val="0000EE"/>
            <w:u w:val="single"/>
          </w:rPr>
          <w:t>At 2.39</w:t>
        </w:r>
      </w:hyperlink>
      <w:r>
        <w:rPr>
          <w:lang w:val="pt_PT" w:bidi="pt_PT"/>
        </w:rPr>
        <w:t xml:space="preserve">; veja também </w:t>
      </w:r>
      <w:hyperlink r:id="rId64">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5">
        <w:r>
          <w:rPr>
            <w:lang w:val="pt_PT" w:bidi="pt_PT"/>
          </w:rPr>
          <w:rPr>
            <w:color w:val="0000EE"/>
            <w:u w:val="single"/>
          </w:rPr>
          <w:t>At 2.16–21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hyperlink r:id="rId66">
        <w:r>
          <w:rPr>
            <w:lang w:val="pt_PT" w:bidi="pt_PT"/>
          </w:rPr>
          <w:rPr>
            <w:color w:val="0000EE"/>
            <w:u w:val="single"/>
          </w:rPr>
          <w:t>2.10</w:t>
        </w:r>
      </w:hyperlink>
      <w:r>
        <w:rPr>
          <w:lang w:val="pt_PT" w:bidi="pt_PT"/>
        </w:rPr>
        <w:t xml:space="preserve">; </w:t>
      </w:r>
      <w:hyperlink r:id="rId67">
        <w:r>
          <w:rPr>
            <w:lang w:val="pt_PT" w:bidi="pt_PT"/>
          </w:rPr>
          <w:rPr>
            <w:color w:val="0000EE"/>
            <w:u w:val="single"/>
          </w:rPr>
          <w:t>Mc 13.24</w:t>
        </w:r>
      </w:hyperlink>
      <w:r>
        <w:rPr>
          <w:lang w:val="pt_PT" w:bidi="pt_PT"/>
        </w:rPr>
        <w:t xml:space="preserve">; </w:t>
      </w:r>
      <w:hyperlink r:id="rId68">
        <w:r>
          <w:rPr>
            <w:lang w:val="pt_PT" w:bidi="pt_PT"/>
          </w:rPr>
          <w:rPr>
            <w:color w:val="0000EE"/>
            <w:u w:val="single"/>
          </w:rPr>
          <w:t>Ap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hyperlink r:id="rId69">
        <w:r>
          <w:rPr>
            <w:lang w:val="pt_PT" w:bidi="pt_PT"/>
          </w:rPr>
          <w:rPr>
            <w:color w:val="0000EE"/>
            <w:u w:val="single"/>
          </w:rPr>
          <w:t>Gn 12.8</w:t>
        </w:r>
      </w:hyperlink>
      <w:r>
        <w:rPr>
          <w:lang w:val="pt_PT" w:bidi="pt_PT"/>
        </w:rPr>
        <w:t xml:space="preserve">; </w:t>
      </w:r>
      <w:hyperlink r:id="rId70">
        <w:r>
          <w:rPr>
            <w:lang w:val="pt_PT" w:bidi="pt_PT"/>
          </w:rPr>
          <w:rPr>
            <w:color w:val="0000EE"/>
            <w:u w:val="single"/>
          </w:rPr>
          <w:t>Sl 105.1</w:t>
        </w:r>
      </w:hyperlink>
      <w:r>
        <w:rPr>
          <w:lang w:val="pt_PT" w:bidi="pt_PT"/>
        </w:rPr>
        <w:t xml:space="preserve">; </w:t>
      </w:r>
      <w:hyperlink r:id="rId71">
        <w:r>
          <w:rPr>
            <w:lang w:val="pt_PT" w:bidi="pt_PT"/>
          </w:rPr>
          <w:rPr>
            <w:color w:val="0000EE"/>
            <w:u w:val="single"/>
          </w:rPr>
          <w:t>Is 12.4</w:t>
        </w:r>
      </w:hyperlink>
      <w:r>
        <w:rPr>
          <w:lang w:val="pt_PT" w:bidi="pt_PT"/>
        </w:rPr>
        <w:t xml:space="preserve">; </w:t>
      </w:r>
      <w:hyperlink r:id="rId72">
        <w:r>
          <w:rPr>
            <w:lang w:val="pt_PT" w:bidi="pt_PT"/>
          </w:rPr>
          <w:rPr>
            <w:color w:val="0000EE"/>
            <w:u w:val="single"/>
          </w:rPr>
          <w:t>Rm 10.13</w:t>
        </w:r>
      </w:hyperlink>
      <w:r>
        <w:rPr>
          <w:lang w:val="pt_PT" w:bidi="pt_PT"/>
        </w:rPr>
        <w:t xml:space="preserve">; </w:t>
      </w:r>
      <w:hyperlink r:id="rId73">
        <w:r>
          <w:rPr>
            <w:lang w:val="pt_PT" w:bidi="pt_PT"/>
          </w:rPr>
          <w:rPr>
            <w:color w:val="0000EE"/>
            <w:u w:val="single"/>
          </w:rPr>
          <w:t>12.1–2</w:t>
        </w:r>
      </w:hyperlink>
      <w:r>
        <w:rPr>
          <w:lang w:val="pt_PT" w:bidi="pt_PT"/>
        </w:rPr>
        <w:t xml:space="preserve">). • Aqueles a quem o Senhor chamou são seu remanescente escolhido, os sobreviventes do julgamento que o adoram (veja </w:t>
      </w:r>
      <w:hyperlink r:id="rId74">
        <w:r>
          <w:rPr>
            <w:lang w:val="pt_PT" w:bidi="pt_PT"/>
          </w:rPr>
          <w:rPr>
            <w:color w:val="0000EE"/>
            <w:u w:val="single"/>
          </w:rPr>
          <w:t>2Rs 19.31</w:t>
        </w:r>
      </w:hyperlink>
      <w:r>
        <w:rPr>
          <w:lang w:val="pt_PT" w:bidi="pt_PT"/>
        </w:rPr>
        <w:t xml:space="preserve">; </w:t>
      </w:r>
      <w:hyperlink r:id="rId75">
        <w:r>
          <w:rPr>
            <w:lang w:val="pt_PT" w:bidi="pt_PT"/>
          </w:rPr>
          <w:rPr>
            <w:color w:val="0000EE"/>
            <w:u w:val="single"/>
          </w:rPr>
          <w:t>Ed 9.8–15</w:t>
        </w:r>
      </w:hyperlink>
      <w:r>
        <w:rPr>
          <w:lang w:val="pt_PT" w:bidi="pt_PT"/>
        </w:rPr>
        <w:t xml:space="preserve">; </w:t>
      </w:r>
      <w:hyperlink r:id="rId76">
        <w:r>
          <w:rPr>
            <w:lang w:val="pt_PT" w:bidi="pt_PT"/>
          </w:rPr>
          <w:rPr>
            <w:color w:val="0000EE"/>
            <w:u w:val="single"/>
          </w:rPr>
          <w:t>Is 10.20–22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hyperlink r:id="rId77">
        <w:r>
          <w:rPr>
            <w:lang w:val="pt_PT" w:bidi="pt_PT"/>
          </w:rPr>
          <w:rPr>
            <w:color w:val="0000EE"/>
            <w:u w:val="single"/>
          </w:rPr>
          <w:t>1Rs 22.41</w:t>
        </w:r>
      </w:hyperlink>
      <w:r>
        <w:rPr>
          <w:lang w:val="pt_PT" w:bidi="pt_PT"/>
        </w:rPr>
        <w:t xml:space="preserve">); ao contrário, esta descrição, que significa "o vale onde o Senhor julga", identifica o local como o lugar onde Deus tomaria sua decisão (veja </w:t>
      </w:r>
      <w:hyperlink r:id="rId78">
        <w:r>
          <w:rPr>
            <w:lang w:val="pt_PT" w:bidi="pt_PT"/>
          </w:rPr>
          <w:rPr>
            <w:color w:val="0000EE"/>
            <w:u w:val="single"/>
          </w:rPr>
          <w:t>Jl 3.14</w:t>
        </w:r>
      </w:hyperlink>
      <w:r>
        <w:rPr>
          <w:lang w:val="pt_PT" w:bidi="pt_PT"/>
        </w:rPr>
        <w:t xml:space="preserve">) sobre o destino das nações. • Os pecados das nações incluem exilar o povo da aliança de Deus e vitimizar meninos e meninas indefesos em um comércio de escravos desumano (cp. </w:t>
      </w:r>
      <w:hyperlink r:id="rId79">
        <w:r>
          <w:rPr>
            <w:lang w:val="pt_PT" w:bidi="pt_PT"/>
          </w:rPr>
          <w:rPr>
            <w:color w:val="0000EE"/>
            <w:u w:val="single"/>
          </w:rPr>
          <w:t>Ez 27.13</w:t>
        </w:r>
      </w:hyperlink>
      <w:r>
        <w:rPr>
          <w:lang w:val="pt_PT" w:bidi="pt_PT"/>
        </w:rPr>
        <w:t xml:space="preserve">; </w:t>
      </w:r>
      <w:hyperlink r:id="rId80">
        <w:r>
          <w:rPr>
            <w:lang w:val="pt_PT" w:bidi="pt_PT"/>
          </w:rPr>
          <w:rPr>
            <w:color w:val="0000EE"/>
            <w:u w:val="single"/>
          </w:rPr>
          <w:t>Ap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hyperlink r:id="rId81">
        <w:r>
          <w:rPr>
            <w:lang w:val="pt_PT" w:bidi="pt_PT"/>
          </w:rPr>
          <w:rPr>
            <w:color w:val="0000EE"/>
            <w:u w:val="single"/>
          </w:rPr>
          <w:t>Am 1.6</w:t>
        </w:r>
      </w:hyperlink>
      <w:r>
        <w:rPr>
          <w:lang w:val="pt_PT" w:bidi="pt_PT"/>
        </w:rPr>
        <w:t>,</w:t>
      </w:r>
      <w:hyperlink r:id="rId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hyperlink r:id="rId83">
        <w:r>
          <w:rPr>
            <w:lang w:val="pt_PT" w:bidi="pt_PT"/>
          </w:rPr>
          <w:rPr>
            <w:color w:val="0000EE"/>
            <w:u w:val="single"/>
          </w:rPr>
          <w:t>Is 2.4</w:t>
        </w:r>
      </w:hyperlink>
      <w:r>
        <w:rPr>
          <w:lang w:val="pt_PT" w:bidi="pt_PT"/>
        </w:rPr>
        <w:t xml:space="preserve"> e </w:t>
      </w:r>
      <w:hyperlink r:id="rId84">
        <w:r>
          <w:rPr>
            <w:lang w:val="pt_PT" w:bidi="pt_PT"/>
          </w:rPr>
          <w:rPr>
            <w:color w:val="0000EE"/>
            <w:u w:val="single"/>
          </w:rPr>
          <w:t>Mq 4.3</w:t>
        </w:r>
      </w:hyperlink>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hyperlink r:id="rId85">
        <w:r>
          <w:rPr>
            <w:lang w:val="pt_PT" w:bidi="pt_PT"/>
          </w:rPr>
          <w:rPr>
            <w:color w:val="0000EE"/>
            <w:u w:val="single"/>
          </w:rPr>
          <w:t>Is 63.2–3</w:t>
        </w:r>
      </w:hyperlink>
      <w:r>
        <w:rPr>
          <w:lang w:val="pt_PT" w:bidi="pt_PT"/>
        </w:rPr>
        <w:t xml:space="preserve">; </w:t>
      </w:r>
      <w:hyperlink r:id="rId86">
        <w:r>
          <w:rPr>
            <w:lang w:val="pt_PT" w:bidi="pt_PT"/>
          </w:rPr>
          <w:rPr>
            <w:color w:val="0000EE"/>
            <w:u w:val="single"/>
          </w:rPr>
          <w:t>Ap 14.14–20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hyperlink r:id="rId87">
        <w:r>
          <w:rPr>
            <w:lang w:val="pt_PT" w:bidi="pt_PT"/>
          </w:rPr>
          <w:rPr>
            <w:color w:val="0000EE"/>
            <w:u w:val="single"/>
          </w:rPr>
          <w:t>3.2–3</w:t>
        </w:r>
      </w:hyperlink>
      <w:r>
        <w:rPr>
          <w:lang w:val="pt_PT" w:bidi="pt_PT"/>
        </w:rPr>
        <w:t>,</w:t>
      </w:r>
      <w:hyperlink r:id="rId88">
        <w:r>
          <w:rPr>
            <w:lang w:val="pt_PT" w:bidi="pt_PT"/>
          </w:rPr>
          <w:rPr>
            <w:color w:val="0000EE"/>
            <w:u w:val="single"/>
          </w:rPr>
          <w:t>12</w:t>
        </w:r>
      </w:hyperlink>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hyperlink r:id="rId89">
        <w:r>
          <w:rPr>
            <w:lang w:val="pt_PT" w:bidi="pt_PT"/>
          </w:rPr>
          <w:rPr>
            <w:color w:val="0000EE"/>
            <w:u w:val="single"/>
          </w:rPr>
          <w:t>Am 1.2</w:t>
        </w:r>
      </w:hyperlink>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hyperlink r:id="rId90">
        <w:r>
          <w:rPr>
            <w:lang w:val="pt_PT" w:bidi="pt_PT"/>
          </w:rPr>
          <w:rPr>
            <w:color w:val="0000EE"/>
            <w:u w:val="single"/>
          </w:rPr>
          <w:t>2.27</w:t>
        </w:r>
      </w:hyperlink>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hyperlink r:id="rId91">
        <w:r>
          <w:rPr>
            <w:lang w:val="pt_PT" w:bidi="pt_PT"/>
          </w:rPr>
          <w:rPr>
            <w:color w:val="0000EE"/>
            <w:u w:val="single"/>
          </w:rPr>
          <w:t>Ez 47.1–12</w:t>
        </w:r>
      </w:hyperlink>
      <w:r>
        <w:rPr>
          <w:lang w:val="pt_PT" w:bidi="pt_PT"/>
        </w:rPr>
        <w:t xml:space="preserve">; </w:t>
      </w:r>
      <w:hyperlink r:id="rId92">
        <w:r>
          <w:rPr>
            <w:lang w:val="pt_PT" w:bidi="pt_PT"/>
          </w:rPr>
          <w:rPr>
            <w:color w:val="0000EE"/>
            <w:u w:val="single"/>
          </w:rPr>
          <w:t>Am 9.13</w:t>
        </w:r>
      </w:hyperlink>
      <w:r>
        <w:rPr>
          <w:lang w:val="pt_PT" w:bidi="pt_PT"/>
        </w:rPr>
        <w:t xml:space="preserve">). Haveria uma superabundância de vinho doce e leite. O Templo, a própria morada de Deus na terra, seria a fonte de uma nascente que para sempre regaria a paisagem árida (veja </w:t>
      </w:r>
      <w:hyperlink r:id="rId93">
        <w:r>
          <w:rPr>
            <w:lang w:val="pt_PT" w:bidi="pt_PT"/>
          </w:rPr>
          <w:rPr>
            <w:color w:val="0000EE"/>
            <w:u w:val="single"/>
          </w:rPr>
          <w:t>Zc 14.8</w:t>
        </w:r>
      </w:hyperlink>
      <w:r>
        <w:rPr>
          <w:lang w:val="pt_PT" w:bidi="pt_PT"/>
        </w:rPr>
        <w:t xml:space="preserve">; </w:t>
      </w:r>
      <w:hyperlink r:id="rId94">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hyperlink r:id="rId26">
        <w:r>
          <w:rPr>
            <w:lang w:val="pt_PT" w:bidi="pt_PT"/>
          </w:rPr>
          <w:rPr>
            <w:color w:val="0000EE"/>
            <w:u w:val="single"/>
          </w:rPr>
          <w:t>1.1–20</w:t>
        </w:r>
      </w:hyperlink>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5">
        <w:r>
          <w:rPr>
            <w:lang w:val="pt_PT" w:bidi="pt_PT"/>
          </w:rPr>
          <w:rPr>
            <w:color w:val="0000EE"/>
            <w:u w:val="single"/>
          </w:rPr>
          <w:t>Is 9.6–7</w:t>
        </w:r>
      </w:hyperlink>
      <w:r>
        <w:rPr>
          <w:lang w:val="pt_PT" w:bidi="pt_PT"/>
        </w:rPr>
        <w:t xml:space="preserve">; </w:t>
      </w:r>
      <w:hyperlink r:id="rId96">
        <w:r>
          <w:rPr>
            <w:lang w:val="pt_PT" w:bidi="pt_PT"/>
          </w:rPr>
          <w:rPr>
            <w:color w:val="0000EE"/>
            <w:u w:val="single"/>
          </w:rPr>
          <w:t>Dn 2.44</w:t>
        </w:r>
      </w:hyperlink>
      <w:r>
        <w:rPr>
          <w:lang w:val="pt_PT" w:bidi="pt_PT"/>
        </w:rPr>
        <w:t xml:space="preserve">; </w:t>
      </w:r>
      <w:hyperlink r:id="rId97">
        <w:r>
          <w:rPr>
            <w:lang w:val="pt_PT" w:bidi="pt_PT"/>
          </w:rPr>
          <w:rPr>
            <w:color w:val="0000EE"/>
            <w:u w:val="single"/>
          </w:rPr>
          <w:t>7.13–14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