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وفي العَهْدِ القَدِيمِ، غالبًا ما تُمثِّل النار غضب الله ودينونته ضد الخطيّة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pStyle w:val="ListBullet"/>
        <w:bidi/>
        <w:spacing w:line="240" w:lineRule="auto"/>
        <w:ind w:left="720"/>
      </w:pPr>
      <w:r>
        <w:rPr>
          <w:lang w:val="ar_AE" w:bidi="ar_AE"/>
        </w:rPr>
      </w:r>
      <w:r>
        <w:rPr>
          <w:lang w:val="ar_AE" w:bidi="ar_AE"/>
        </w:rPr>
        <w:t>مُذَهَّبَة: قد يكون هذا مصطلحًا أدبيًا أو موسيقيًا.</w:t>
      </w:r>
    </w:p>
    <w:p>
      <w:pPr>
        <w:pStyle w:val="ListBullet"/>
        <w:bidi/>
        <w:spacing w:line="240" w:lineRule="auto"/>
        <w:ind w:left="720"/>
      </w:pPr>
      <w:r>
        <w:rPr>
          <w:lang w:val="ar_AE" w:bidi="ar_AE"/>
        </w:rPr>
      </w:r>
      <w:r>
        <w:rPr>
          <w:lang w:val="ar_AE" w:bidi="ar_AE"/>
        </w:rPr>
        <w:t>ألقى الفلسطينيون القبض على داود بسبب شكوكهم في ولائه، ثم أحضروه إلى الملك أخيش</w:t>
      </w:r>
      <w:r>
        <w:rPr>
          <w:lang w:val="ar_AE" w:bidi="ar_AE"/>
        </w:rPr>
        <w:t xml:space="preserve">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pStyle w:val="ListBullet"/>
        <w:bidi/>
        <w:spacing w:line="240" w:lineRule="auto"/>
        <w:ind w:left="720"/>
      </w:pPr>
      <w:r>
        <w:rPr>
          <w:lang w:val="ar_AE" w:bidi="ar_AE"/>
        </w:rPr>
      </w:r>
      <w:r>
        <w:rPr>
          <w:lang w:val="ar_AE" w:bidi="ar_AE"/>
        </w:rPr>
        <w:t>تَسْبِيحَةٌ (مَسْكِيل في اللغة العبريّة): قد يكون هذا مصطلحًا أدبيًا أو موسيقيًا.</w:t>
      </w:r>
    </w:p>
    <w:p>
      <w:pPr>
        <w:pStyle w:val="ListBullet"/>
        <w:bidi/>
        <w:spacing w:line="240" w:lineRule="auto"/>
        <w:ind w:left="720"/>
      </w:pPr>
      <w:r>
        <w:rPr>
          <w:lang w:val="ar_AE" w:bidi="ar_AE"/>
        </w:rPr>
      </w:r>
      <w:r>
        <w:rPr>
          <w:lang w:val="ar_AE" w:bidi="ar_AE"/>
        </w:rPr>
        <w:t>هَيْمَانَ ٱلْأَزْرَاحِيّ: قد يكون حكيمًا من زمن سليمان، ذُكر مع الحكماء المشهورين (</w:t>
      </w:r>
      <w:hyperlink r:id="rId1631">
        <w:r>
          <w:rPr>
            <w:lang w:val="ar_AE" w:bidi="ar_AE"/>
          </w:rPr>
          <w:rPr>
            <w:color w:val="0000EE"/>
            <w:u w:val="single"/>
          </w:rPr>
          <w:t>1 المُلُوك 4:31</w:t>
        </w:r>
      </w:hyperlink>
      <w:r>
        <w:rPr>
          <w:lang w:val="ar_AE" w:bidi="ar_AE"/>
        </w:rPr>
        <w:t>)، أو واحد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