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w:t>
      </w:r>
      <w:r>
        <w:rPr>
          <w:lang w:val="id_ID" w:bidi="id_ID"/>
        </w:rPr>
      </w:r>
    </w:p>
    <w:p>
      <w:pPr/>
      <w:r>
        <w:rPr>
          <w:lang w:val="id_ID" w:bidi="id_ID"/>
        </w:rPr>
      </w:r>
      <w:r>
        <w:rPr>
          <w:lang w:val="id_ID" w:bidi="id_ID"/>
        </w:rPr>
        <w:t xml:space="preserve">Ucapan ilahi … Penglihatan: Pembukaan ini, mirip dengan kitab-kitab nubuat lainnya (bandingkan </w:t>
      </w:r>
      <w:hyperlink r:id="rId13">
        <w:r>
          <w:rPr>
            <w:lang w:val="id_ID" w:bidi="id_ID"/>
          </w:rPr>
          <w:rPr>
            <w:color w:val="0000EE"/>
            <w:u w:val="single"/>
          </w:rPr>
          <w:t>Obaja 1:1</w:t>
        </w:r>
      </w:hyperlink>
      <w:r>
        <w:rPr>
          <w:lang w:val="id_ID" w:bidi="id_ID"/>
        </w:rPr>
        <w:t xml:space="preserve">; </w:t>
      </w:r>
      <w:hyperlink r:id="rId14">
        <w:r>
          <w:rPr>
            <w:lang w:val="id_ID" w:bidi="id_ID"/>
          </w:rPr>
          <w:rPr>
            <w:color w:val="0000EE"/>
            <w:u w:val="single"/>
          </w:rPr>
          <w:t>Hab. 1:1</w:t>
        </w:r>
      </w:hyperlink>
      <w:r>
        <w:rPr>
          <w:lang w:val="id_ID" w:bidi="id_ID"/>
        </w:rPr>
        <w:t xml:space="preserve">; </w:t>
      </w:r>
      <w:hyperlink r:id="rId15">
        <w:r>
          <w:rPr>
            <w:lang w:val="id_ID" w:bidi="id_ID"/>
          </w:rPr>
          <w:rPr>
            <w:color w:val="0000EE"/>
            <w:u w:val="single"/>
          </w:rPr>
          <w:t>Mal. 1:1</w:t>
        </w:r>
      </w:hyperlink>
      <w:r>
        <w:rPr>
          <w:lang w:val="id_ID" w:bidi="id_ID"/>
        </w:rPr>
        <w:t>), mengidentifikasi Nahum sebagai seorang nabi yang menyampaikan pesan-pesan dari Allah. • Niniwe menjadi ibu kota Kekaisaran Asyur tidak lama setelah 705 SM dan tetap demikian hingga kehancurannya pada 612 SM. • Nama Nahum berarti “penghiburan” atau “dorongan.” Tema penting dari nubuatannya adalah bahwa Allah akan membawa penghiburan kepada umat-Nya melalui kejatuhan Niniwe (</w:t>
      </w:r>
      <w:hyperlink r:id="rId16">
        <w:r>
          <w:rPr>
            <w:lang w:val="id_ID" w:bidi="id_ID"/>
          </w:rPr>
          <w:rPr>
            <w:color w:val="0000EE"/>
            <w:u w:val="single"/>
          </w:rPr>
          <w:t>Nah. 1:12–15</w:t>
        </w:r>
      </w:hyperlink>
      <w:r>
        <w:rPr>
          <w:lang w:val="id_ID" w:bidi="id_ID"/>
        </w:rPr>
        <w:t xml:space="preserve">; lihat </w:t>
      </w:r>
      <w:hyperlink r:id="rId1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1:2</w:t>
      </w:r>
      <w:r>
        <w:rPr>
          <w:lang w:val="id_ID" w:bidi="id_ID"/>
        </w:rPr>
      </w:r>
    </w:p>
    <w:p>
      <w:pPr/>
      <w:r>
        <w:rPr>
          <w:lang w:val="id_ID" w:bidi="id_ID"/>
        </w:rPr>
      </w:r>
      <w:r>
        <w:rPr>
          <w:lang w:val="id_ID" w:bidi="id_ID"/>
        </w:rPr>
        <w:t xml:space="preserve">Cemburu (atau </w:t>
      </w:r>
      <w:r>
        <w:rPr>
          <w:i/>
          <w:lang w:val="id_ID" w:bidi="id_ID"/>
        </w:rPr>
        <w:t>semangat berkobar</w:t>
      </w:r>
      <w:r>
        <w:rPr>
          <w:lang w:val="id_ID" w:bidi="id_ID"/>
        </w:rPr>
        <w:t xml:space="preserve">): Allah dengan penuh semangat menjaga kesejahteraan umat-Nya dan sangat menginginkan kesetiaan mereka (lihat </w:t>
      </w:r>
      <w:hyperlink r:id="rId18">
        <w:r>
          <w:rPr>
            <w:lang w:val="id_ID" w:bidi="id_ID"/>
          </w:rPr>
          <w:rPr>
            <w:color w:val="0000EE"/>
            <w:u w:val="single"/>
          </w:rPr>
          <w:t>Kel. 20:4–5</w:t>
        </w:r>
      </w:hyperlink>
      <w:r>
        <w:rPr>
          <w:lang w:val="id_ID" w:bidi="id_ID"/>
        </w:rPr>
        <w:t xml:space="preserve">; </w:t>
      </w:r>
      <w:hyperlink r:id="rId19">
        <w:r>
          <w:rPr>
            <w:lang w:val="id_ID" w:bidi="id_ID"/>
          </w:rPr>
          <w:rPr>
            <w:color w:val="0000EE"/>
            <w:u w:val="single"/>
          </w:rPr>
          <w:t>Ul. 4:23–24</w:t>
        </w:r>
      </w:hyperlink>
      <w:r>
        <w:rPr>
          <w:lang w:val="id_ID" w:bidi="id_ID"/>
        </w:rPr>
        <w:t xml:space="preserve">; </w:t>
      </w:r>
      <w:hyperlink r:id="rId20">
        <w:r>
          <w:rPr>
            <w:lang w:val="id_ID" w:bidi="id_ID"/>
          </w:rPr>
          <w:rPr>
            <w:color w:val="0000EE"/>
            <w:u w:val="single"/>
          </w:rPr>
          <w:t>6:4</w:t>
        </w:r>
      </w:hyperlink>
      <w:r>
        <w:rPr>
          <w:lang w:val="id_ID" w:bidi="id_ID"/>
        </w:rPr>
        <w:t xml:space="preserve">; </w:t>
      </w:r>
      <w:hyperlink r:id="rId21">
        <w:r>
          <w:rPr>
            <w:lang w:val="id_ID" w:bidi="id_ID"/>
          </w:rPr>
          <w:rPr>
            <w:color w:val="0000EE"/>
            <w:u w:val="single"/>
          </w:rPr>
          <w:t>Yer. 2:1–3:5</w:t>
        </w:r>
      </w:hyperlink>
      <w:r>
        <w:rPr>
          <w:lang w:val="id_ID" w:bidi="id_ID"/>
        </w:rPr>
        <w:t>). • Pembalasan dan murka Allah tidak dapat disamakan dengan sikap manusia untuk "membalas dendam." Tindakan Allah muncul dari kekudusan-Nya (</w:t>
      </w:r>
      <w:hyperlink r:id="rId22">
        <w:r>
          <w:rPr>
            <w:lang w:val="id_ID" w:bidi="id_ID"/>
          </w:rPr>
          <w:rPr>
            <w:color w:val="0000EE"/>
            <w:u w:val="single"/>
          </w:rPr>
          <w:t>Yer. 50:28–29</w:t>
        </w:r>
      </w:hyperlink>
      <w:r>
        <w:rPr>
          <w:lang w:val="id_ID" w:bidi="id_ID"/>
        </w:rPr>
        <w:t>), keadilan (</w:t>
      </w:r>
      <w:hyperlink r:id="rId23">
        <w:r>
          <w:rPr>
            <w:lang w:val="id_ID" w:bidi="id_ID"/>
          </w:rPr>
          <w:rPr>
            <w:color w:val="0000EE"/>
            <w:u w:val="single"/>
          </w:rPr>
          <w:t>Yes. 63:1–9</w:t>
        </w:r>
      </w:hyperlink>
      <w:r>
        <w:rPr>
          <w:lang w:val="id_ID" w:bidi="id_ID"/>
        </w:rPr>
        <w:t>), dan kesetiaan terhadap Perjanjian dengan umat-Nya (</w:t>
      </w:r>
      <w:hyperlink r:id="rId24">
        <w:r>
          <w:rPr>
            <w:lang w:val="id_ID" w:bidi="id_ID"/>
          </w:rPr>
          <w:rPr>
            <w:color w:val="0000EE"/>
            <w:u w:val="single"/>
          </w:rPr>
          <w:t>Im. 26:23–25</w:t>
        </w:r>
      </w:hyperlink>
      <w:r>
        <w:rPr>
          <w:lang w:val="id_ID" w:bidi="id_ID"/>
        </w:rPr>
        <w:t xml:space="preserve">; </w:t>
      </w:r>
      <w:hyperlink r:id="rId25">
        <w:r>
          <w:rPr>
            <w:lang w:val="id_ID" w:bidi="id_ID"/>
          </w:rPr>
          <w:rPr>
            <w:color w:val="0000EE"/>
            <w:u w:val="single"/>
          </w:rPr>
          <w:t>Yes. 1:24–26</w:t>
        </w:r>
      </w:hyperlink>
      <w:r>
        <w:rPr>
          <w:lang w:val="id_ID" w:bidi="id_ID"/>
        </w:rPr>
        <w:t>). Pembalasan-Nya tidak pernah sewenang-wenang.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