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تيموثاوس</w:t>
      </w:r>
      <w:r>
        <w:rPr>
          <w:lang w:val="ar_AE" w:bidi="ar_AE"/>
        </w:rPr>
      </w:r>
    </w:p>
    <w:p>
      <w:pPr>
        <w:bidi/>
      </w:pPr>
      <w:r>
        <w:rPr>
          <w:lang w:val="ar_AE" w:bidi="ar_AE"/>
        </w:rPr>
      </w:r>
      <w:r>
        <w:rPr>
          <w:lang w:val="ar_AE" w:bidi="ar_AE"/>
        </w:rPr>
        <w:t>رسالة بولس الثانية إلى تيموثاوس</w:t>
      </w:r>
    </w:p>
    <w:p>
      <w:pPr>
        <w:pStyle w:val="Heading3"/>
        <w:bidi/>
      </w:pPr>
      <w:r>
        <w:rPr>
          <w:lang w:val="ar_AE" w:bidi="ar_AE"/>
        </w:rPr>
        <w:t>الهدف</w:t>
      </w:r>
    </w:p>
    <w:p>
      <w:pPr>
        <w:bidi/>
      </w:pPr>
      <w:r>
        <w:rPr>
          <w:lang w:val="ar_AE" w:bidi="ar_AE"/>
        </w:rPr>
      </w:r>
      <w:r>
        <w:rPr>
          <w:lang w:val="ar_AE" w:bidi="ar_AE"/>
        </w:rPr>
        <w:t>تكليف تيموثاوس بمواصلة العمل الذي بدأه بولس وتشجيع تيموثاوس على احتمال المعاناة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64 بعد الميلاد</w:t>
      </w:r>
    </w:p>
    <w:p>
      <w:pPr>
        <w:pStyle w:val="Heading3"/>
        <w:bidi/>
      </w:pPr>
      <w:r>
        <w:rPr>
          <w:lang w:val="ar_AE" w:bidi="ar_AE"/>
        </w:rPr>
        <w:t>السياق</w:t>
      </w:r>
    </w:p>
    <w:p>
      <w:pPr>
        <w:bidi/>
      </w:pPr>
      <w:r>
        <w:rPr>
          <w:lang w:val="ar_AE" w:bidi="ar_AE"/>
        </w:rPr>
      </w:r>
      <w:r>
        <w:rPr>
          <w:lang w:val="ar_AE" w:bidi="ar_AE"/>
        </w:rPr>
        <w:t>كُتبت على الأرجح أثناء السجن الثاني لبولس في روما، قبل وقت قصير من موته، الذي فَهِمَ أنه كان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