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Notes d'étude - Résumés d'introduction des livres (Tyndale)</w:t>
      </w:r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License Information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Notes d'étude - Résumés d'introduction des livres (Tyndale)</w:t>
      </w:r>
      <w:r>
        <w:rPr>
          <w:lang w:val="fr_FR" w:bidi="fr_FR"/>
        </w:rPr>
        <w:t xml:space="preserve"> (French) is based on</w:t>
      </w:r>
      <w:r>
        <w:rPr>
          <w:lang w:val="fr_FR" w:bidi="fr_FR"/>
        </w:rPr>
        <w:t xml:space="preserve">: </w:t>
      </w:r>
      <w:r>
        <w:rPr>
          <w:lang w:val="fr_FR" w:bidi="fr_FR"/>
        </w:rPr>
        <w:t>Tyndale Open Study Notes</w:t>
      </w:r>
      <w:r>
        <w:rPr>
          <w:lang w:val="fr_FR" w:bidi="fr_FR"/>
        </w:rPr>
        <w:t xml:space="preserve">, </w:t>
      </w:r>
      <w:hyperlink r:id="rId13">
        <w:r>
          <w:rPr>
            <w:lang w:val="fr_FR" w:bidi="fr_FR"/>
          </w:rPr>
          <w:rPr>
            <w:color w:val="0000EE"/>
            <w:u w:val="single"/>
          </w:rPr>
          <w:t>Tyndale House Publishers</w:t>
        </w:r>
      </w:hyperlink>
      <w:r>
        <w:rPr>
          <w:lang w:val="fr_FR" w:bidi="fr_FR"/>
        </w:rPr>
        <w:t xml:space="preserve">, 2019, which is licensed under a </w:t>
      </w:r>
      <w:hyperlink r:id="rId14">
        <w:r>
          <w:rPr>
            <w:lang w:val="fr_FR" w:bidi="fr_FR"/>
          </w:rPr>
          <w:rPr>
            <w:color w:val="0000EE"/>
            <w:u w:val="single"/>
          </w:rPr>
          <w:t>CC BY-SA 4.0 license</w:t>
        </w:r>
      </w:hyperlink>
      <w:r>
        <w:rPr>
          <w:lang w:val="fr_FR" w:bidi="fr_FR"/>
        </w:rPr>
        <w:t>.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This PDF version is provided under the same license.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Notes d'étude - Résumés d'introduction des livres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JOB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Job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Job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Le livre de Job</w:t>
      </w:r>
    </w:p>
    <w:p>
      <w:pPr>
        <w:pStyle w:val="Heading3"/>
      </w:pPr>
      <w:r>
        <w:rPr>
          <w:lang w:val="fr_FR" w:bidi="fr_FR"/>
        </w:rPr>
        <w:t>Dessein</w:t>
      </w:r>
    </w:p>
    <w:p>
      <w:pPr/>
      <w:r>
        <w:rPr>
          <w:lang w:val="fr_FR" w:bidi="fr_FR"/>
        </w:rPr>
      </w:r>
      <w:r>
        <w:rPr>
          <w:lang w:val="fr_FR" w:bidi="fr_FR"/>
        </w:rPr>
        <w:t>Proposer une réflexion autour de la question de la souffrance humaine, d’abord en remettant en cause le rapport couramment défendu entre bonté morale et prospérité</w:t>
      </w:r>
    </w:p>
    <w:p>
      <w:pPr>
        <w:pStyle w:val="Heading3"/>
      </w:pPr>
      <w:r>
        <w:rPr>
          <w:lang w:val="fr_FR" w:bidi="fr_FR"/>
        </w:rPr>
        <w:t>Auteur</w:t>
      </w:r>
    </w:p>
    <w:p>
      <w:pPr/>
      <w:r>
        <w:rPr>
          <w:lang w:val="fr_FR" w:bidi="fr_FR"/>
        </w:rPr>
      </w:r>
      <w:r>
        <w:rPr>
          <w:lang w:val="fr_FR" w:bidi="fr_FR"/>
        </w:rPr>
        <w:t>Inconnue</w:t>
      </w:r>
    </w:p>
    <w:p>
      <w:pPr>
        <w:pStyle w:val="Heading3"/>
      </w:pPr>
      <w:r>
        <w:rPr>
          <w:lang w:val="fr_FR" w:bidi="fr_FR"/>
        </w:rPr>
        <w:t>Date</w:t>
      </w:r>
    </w:p>
    <w:p>
      <w:pPr/>
      <w:r>
        <w:rPr>
          <w:lang w:val="fr_FR" w:bidi="fr_FR"/>
        </w:rPr>
      </w:r>
      <w:r>
        <w:rPr>
          <w:lang w:val="fr_FR" w:bidi="fr_FR"/>
        </w:rPr>
        <w:t>Inconnue</w:t>
      </w:r>
    </w:p>
    <w:p>
      <w:pPr>
        <w:pStyle w:val="Heading3"/>
      </w:pPr>
      <w:r>
        <w:rPr>
          <w:lang w:val="fr_FR" w:bidi="fr_FR"/>
        </w:rPr>
        <w:t>Cadre</w:t>
      </w:r>
    </w:p>
    <w:p>
      <w:pPr/>
      <w:r>
        <w:rPr>
          <w:lang w:val="fr_FR" w:bidi="fr_FR"/>
        </w:rPr>
      </w:r>
      <w:r>
        <w:rPr>
          <w:lang w:val="fr_FR" w:bidi="fr_FR"/>
        </w:rPr>
        <w:t>La période des patriarches, peut-être dans le pays d’Edom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