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राजाओं की पहली पुस्तक</w:t>
      </w:r>
    </w:p>
    <w:p>
      <w:pPr>
        <w:pStyle w:val="Heading3"/>
      </w:pPr>
      <w:r>
        <w:rPr>
          <w:lang w:val="hi_IN" w:bidi="hi_IN"/>
        </w:rPr>
        <w:t>उद्देश्य</w:t>
      </w:r>
    </w:p>
    <w:p>
      <w:pPr/>
      <w:r>
        <w:rPr>
          <w:lang w:val="hi_IN" w:bidi="hi_IN"/>
        </w:rPr>
      </w:r>
      <w:r>
        <w:rPr>
          <w:lang w:val="hi_IN" w:bidi="hi_IN"/>
        </w:rPr>
        <w:t>सुलैमान के शासन काल के वैभव, राज्य के विभाजन, और इस्राएल के पतन की रूपरेखा देना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973–853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इस्राएली साम्राज्य के शिखर पर होने के साथ आरंभ (सुलैमान का शासन काल) तथा एक विभाजित राज्य और इस्राएली साम्राज्य के न्यूनतम स्तर तक पहुँचने (आहाब का शासन काल) पर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