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Resource: Catatan Studi - Ringkasan Pengantar Buku (Tyndale)</w:t>
      </w:r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License Information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b/>
          <w:lang w:val="id_ID" w:bidi="id_ID"/>
        </w:rPr>
        <w:t>Catatan Studi - Ringkasan Pengantar Buku (Tyndale)</w:t>
      </w:r>
      <w:r>
        <w:rPr>
          <w:lang w:val="id_ID" w:bidi="id_ID"/>
        </w:rPr>
        <w:t xml:space="preserve"> (Indonesian) is based on</w:t>
      </w:r>
      <w:r>
        <w:rPr>
          <w:lang w:val="id_ID" w:bidi="id_ID"/>
        </w:rPr>
        <w:t xml:space="preserve">: </w:t>
      </w:r>
      <w:r>
        <w:rPr>
          <w:lang w:val="id_ID" w:bidi="id_ID"/>
        </w:rPr>
        <w:t>Tyndale Open Study Notes</w:t>
      </w:r>
      <w:r>
        <w:rPr>
          <w:lang w:val="id_ID" w:bidi="id_ID"/>
        </w:rPr>
        <w:t xml:space="preserve">, </w:t>
      </w:r>
      <w:hyperlink r:id="rId13">
        <w:r>
          <w:rPr>
            <w:lang w:val="id_ID" w:bidi="id_ID"/>
          </w:rPr>
          <w:rPr>
            <w:color w:val="0000EE"/>
            <w:u w:val="single"/>
          </w:rPr>
          <w:t>Tyndale House Publishers</w:t>
        </w:r>
      </w:hyperlink>
      <w:r>
        <w:rPr>
          <w:lang w:val="id_ID" w:bidi="id_ID"/>
        </w:rPr>
        <w:t xml:space="preserve">, 2019, which is licensed under a </w:t>
      </w:r>
      <w:hyperlink r:id="rId14">
        <w:r>
          <w:rPr>
            <w:lang w:val="id_ID" w:bidi="id_ID"/>
          </w:rPr>
          <w:rPr>
            <w:color w:val="0000EE"/>
            <w:u w:val="single"/>
          </w:rPr>
          <w:t>CC BY-SA 4.0 license</w:t>
        </w:r>
      </w:hyperlink>
      <w:r>
        <w:rPr>
          <w:lang w:val="id_ID" w:bidi="id_ID"/>
        </w:rPr>
        <w:t>.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This PDF version is provided under the same license.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pStyle w:val="Heading1"/>
      </w:pPr>
      <w:r>
        <w:rPr>
          <w:lang w:val="id_ID" w:bidi="id_ID"/>
        </w:rPr>
        <w:t>Catatan Studi - Ringkasan Pengantar Buku (Tyndale)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ZEP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i/>
          <w:lang w:val="id_ID" w:bidi="id_ID"/>
        </w:rPr>
        <w:t>Zefanya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 xml:space="preserve"> </w:t>
      </w:r>
      <w:r>
        <w:rPr>
          <w:lang w:val="id_ID" w:bidi="id_ID"/>
        </w:rPr>
      </w:r>
      <w:r>
        <w:rPr>
          <w:lang w:val="id_ID" w:bidi="id_ID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id_ID" w:bidi="id_ID"/>
        </w:rPr>
      </w:r>
    </w:p>
    <w:p>
      <w:pPr>
        <w:pStyle w:val="Heading2"/>
      </w:pPr>
      <w:r>
        <w:rPr>
          <w:lang w:val="id_ID" w:bidi="id_ID"/>
        </w:rPr>
        <w:t>Zefanya</w:t>
      </w:r>
      <w:r>
        <w:rPr>
          <w:lang w:val="id_ID" w:bidi="id_ID"/>
        </w:rPr>
      </w:r>
    </w:p>
    <w:p>
      <w:pPr/>
      <w:r>
        <w:rPr>
          <w:lang w:val="id_ID" w:bidi="id_ID"/>
        </w:rPr>
      </w:r>
      <w:r>
        <w:rPr>
          <w:lang w:val="id_ID" w:bidi="id_ID"/>
        </w:rPr>
        <w:t>Kitab Zefanya</w:t>
      </w:r>
    </w:p>
    <w:p>
      <w:pPr>
        <w:pStyle w:val="Heading3"/>
      </w:pPr>
      <w:r>
        <w:rPr>
          <w:lang w:val="id_ID" w:bidi="id_ID"/>
        </w:rPr>
        <w:t>Tujuan</w:t>
      </w:r>
    </w:p>
    <w:p>
      <w:pPr/>
      <w:r>
        <w:rPr>
          <w:lang w:val="id_ID" w:bidi="id_ID"/>
        </w:rPr>
      </w:r>
      <w:r>
        <w:rPr>
          <w:lang w:val="id_ID" w:bidi="id_ID"/>
        </w:rPr>
        <w:t>Memperingatkan datangnya “Hari Tuhan“ dan menuntut pertobatan segera</w:t>
      </w:r>
    </w:p>
    <w:p>
      <w:pPr>
        <w:pStyle w:val="Heading3"/>
      </w:pPr>
      <w:r>
        <w:rPr>
          <w:lang w:val="id_ID" w:bidi="id_ID"/>
        </w:rPr>
        <w:t>Penulis</w:t>
      </w:r>
    </w:p>
    <w:p>
      <w:pPr/>
      <w:r>
        <w:rPr>
          <w:lang w:val="id_ID" w:bidi="id_ID"/>
        </w:rPr>
      </w:r>
      <w:r>
        <w:rPr>
          <w:lang w:val="id_ID" w:bidi="id_ID"/>
        </w:rPr>
        <w:t>Zefanya</w:t>
      </w:r>
    </w:p>
    <w:p>
      <w:pPr>
        <w:pStyle w:val="Heading3"/>
      </w:pPr>
      <w:r>
        <w:rPr>
          <w:lang w:val="id_ID" w:bidi="id_ID"/>
        </w:rPr>
        <w:t>Tahun penulisan</w:t>
      </w:r>
    </w:p>
    <w:p>
      <w:pPr/>
      <w:r>
        <w:rPr>
          <w:lang w:val="id_ID" w:bidi="id_ID"/>
        </w:rPr>
      </w:r>
      <w:r>
        <w:rPr>
          <w:lang w:val="id_ID" w:bidi="id_ID"/>
        </w:rPr>
        <w:t>Kemungkinan antara tahun 635 dan 622 SM</w:t>
      </w:r>
    </w:p>
    <w:p>
      <w:pPr>
        <w:pStyle w:val="Heading3"/>
      </w:pPr>
      <w:r>
        <w:rPr>
          <w:lang w:val="id_ID" w:bidi="id_ID"/>
        </w:rPr>
        <w:t>Latar Belakang</w:t>
      </w:r>
    </w:p>
    <w:p>
      <w:pPr/>
      <w:r>
        <w:rPr>
          <w:lang w:val="id_ID" w:bidi="id_ID"/>
        </w:rPr>
      </w:r>
      <w:r>
        <w:rPr>
          <w:lang w:val="id_ID" w:bidi="id_ID"/>
        </w:rPr>
        <w:t>Menjelang permulaan pemerintahan Raja Yosia di Yehuda, sebelum reformasi keagamaan yang diadakannya</w:t>
      </w:r>
      <w:r>
        <w:rPr>
          <w:lang w:val="id_ID" w:bidi="id_ID"/>
        </w:rPr>
      </w:r>
      <w:r>
        <w:rPr>
          <w:lang w:val="id_ID" w:bidi="id_ID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id_ID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3" Type="http://schemas.openxmlformats.org/officeDocument/2006/relationships/hyperlink" Target="https://tyndaleopenresources.com/" TargetMode="External"/><Relationship Id="rId14" Type="http://schemas.openxmlformats.org/officeDocument/2006/relationships/hyperlink" Target="https://creativecommons.org/licenses/by-sa/4.0/legalcode.en" TargetMode="Externa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