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- Сводки о вступлениях книг (Тиндейл)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- Сводки о вступлениях книг (Тиндейл)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Tyndale Open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Tyndale House Publishers</w:t>
        </w:r>
      </w:hyperlink>
      <w:r>
        <w:rPr>
          <w:lang w:val="ru_RU" w:bidi="ru_RU"/>
        </w:rPr>
        <w:t xml:space="preserve">, 2019,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- Сводки о вступлениях книг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JDG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Судей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Судей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Книга Судей</w:t>
      </w:r>
    </w:p>
    <w:p>
      <w:pPr>
        <w:pStyle w:val="Heading3"/>
      </w:pPr>
      <w:r>
        <w:rPr>
          <w:lang w:val="ru_RU" w:bidi="ru_RU"/>
        </w:rPr>
        <w:t>Цель</w:t>
      </w:r>
    </w:p>
    <w:p>
      <w:pPr/>
      <w:r>
        <w:rPr>
          <w:lang w:val="ru_RU" w:bidi="ru_RU"/>
        </w:rPr>
      </w:r>
      <w:r>
        <w:rPr>
          <w:lang w:val="ru_RU" w:bidi="ru_RU"/>
        </w:rPr>
        <w:t>Описать период правления судей и привести доводы в пользу израильской монархии.</w:t>
      </w:r>
    </w:p>
    <w:p>
      <w:pPr>
        <w:pStyle w:val="Heading3"/>
      </w:pPr>
      <w:r>
        <w:rPr>
          <w:lang w:val="ru_RU" w:bidi="ru_RU"/>
        </w:rPr>
        <w:t>Автор</w:t>
      </w:r>
    </w:p>
    <w:p>
      <w:pPr/>
      <w:r>
        <w:rPr>
          <w:lang w:val="ru_RU" w:bidi="ru_RU"/>
        </w:rPr>
      </w:r>
      <w:r>
        <w:rPr>
          <w:lang w:val="ru_RU" w:bidi="ru_RU"/>
        </w:rPr>
        <w:t>Неизвестен</w:t>
      </w:r>
    </w:p>
    <w:p>
      <w:pPr>
        <w:pStyle w:val="Heading3"/>
      </w:pPr>
      <w:r>
        <w:rPr>
          <w:lang w:val="ru_RU" w:bidi="ru_RU"/>
        </w:rPr>
        <w:t>Дата</w:t>
      </w:r>
    </w:p>
    <w:p>
      <w:pPr/>
      <w:r>
        <w:rPr>
          <w:lang w:val="ru_RU" w:bidi="ru_RU"/>
        </w:rPr>
      </w:r>
      <w:r>
        <w:rPr>
          <w:lang w:val="ru_RU" w:bidi="ru_RU"/>
        </w:rPr>
        <w:t>Описанные события произошли или в 1376–1050 гг. до Р.Х., или в 1200–1050 гг. до Р.Х.</w:t>
      </w:r>
    </w:p>
    <w:p>
      <w:pPr>
        <w:pStyle w:val="Heading3"/>
      </w:pPr>
      <w:r>
        <w:rPr>
          <w:lang w:val="ru_RU" w:bidi="ru_RU"/>
        </w:rPr>
        <w:t>Контекст</w:t>
      </w:r>
    </w:p>
    <w:p>
      <w:pPr/>
      <w:r>
        <w:rPr>
          <w:lang w:val="ru_RU" w:bidi="ru_RU"/>
        </w:rPr>
      </w:r>
      <w:r>
        <w:rPr>
          <w:lang w:val="ru_RU" w:bidi="ru_RU"/>
        </w:rPr>
        <w:t>Израилю не удавалось полностью завоевать Землю обетованную, и он неоднократно сталкивался с угнетением со стороны врагов.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