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Resource: Notas de Estudio - Resúmenes de Introducción de Libros (Tyndale)</w:t>
      </w:r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License Information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Notas de Estudio - Resúmenes de Introducción de Libros (Tyndale)</w:t>
      </w:r>
      <w:r>
        <w:rPr>
          <w:lang w:val="es_ES" w:bidi="es_ES"/>
        </w:rPr>
        <w:t xml:space="preserve"> (Spanish) is based on</w:t>
      </w:r>
      <w:r>
        <w:rPr>
          <w:lang w:val="es_ES" w:bidi="es_ES"/>
        </w:rPr>
        <w:t xml:space="preserve">: </w:t>
      </w:r>
      <w:r>
        <w:rPr>
          <w:lang w:val="es_ES" w:bidi="es_ES"/>
        </w:rPr>
        <w:t>Tyndale Open Study Notes</w:t>
      </w:r>
      <w:r>
        <w:rPr>
          <w:lang w:val="es_ES" w:bidi="es_ES"/>
        </w:rPr>
        <w:t xml:space="preserve">, </w:t>
      </w:r>
      <w:hyperlink r:id="rId13">
        <w:r>
          <w:rPr>
            <w:lang w:val="es_ES" w:bidi="es_ES"/>
          </w:rPr>
          <w:rPr>
            <w:color w:val="0000EE"/>
            <w:u w:val="single"/>
          </w:rPr>
          <w:t>Tyndale House Publishers</w:t>
        </w:r>
      </w:hyperlink>
      <w:r>
        <w:rPr>
          <w:lang w:val="es_ES" w:bidi="es_ES"/>
        </w:rPr>
        <w:t xml:space="preserve">, 2019, which is licensed under a </w:t>
      </w:r>
      <w:hyperlink r:id="rId14">
        <w:r>
          <w:rPr>
            <w:lang w:val="es_ES" w:bidi="es_ES"/>
          </w:rPr>
          <w:rPr>
            <w:color w:val="0000EE"/>
            <w:u w:val="single"/>
          </w:rPr>
          <w:t>CC BY-SA 4.0 license</w:t>
        </w:r>
      </w:hyperlink>
      <w:r>
        <w:rPr>
          <w:lang w:val="es_ES" w:bidi="es_ES"/>
        </w:rPr>
        <w:t>.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This PDF version is provided under the same license.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Notas de Estudio - Resúmenes de Introducción de Libros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EZR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i/>
          <w:lang w:val="es_ES" w:bidi="es_ES"/>
        </w:rPr>
        <w:t>Ezra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Ezra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El Libro de Esdras</w:t>
      </w:r>
    </w:p>
    <w:p>
      <w:pPr>
        <w:pStyle w:val="Heading3"/>
      </w:pPr>
      <w:r>
        <w:rPr>
          <w:lang w:val="es_ES" w:bidi="es_ES"/>
        </w:rPr>
        <w:t>Propósito</w:t>
      </w:r>
    </w:p>
    <w:p>
      <w:pPr>
        <w:pStyle w:val="ListNumber"/>
        <w:numPr>
          <w:ilvl w:val="0"/>
          <w:numId w:val="14"/>
        </w:numPr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Demostrar la continua provisión de Dios para su pueblo</w:t>
      </w:r>
    </w:p>
    <w:p>
      <w:pPr>
        <w:pStyle w:val="ListNumber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Mostrar cómo vivir cuando se enfrenta al control extranjero, la oposición y la influencia pagana</w:t>
      </w:r>
    </w:p>
    <w:p>
      <w:pPr>
        <w:pStyle w:val="Heading3"/>
      </w:pPr>
      <w:r>
        <w:rPr>
          <w:lang w:val="es_ES" w:bidi="es_ES"/>
        </w:rPr>
        <w:t>Autor</w:t>
      </w:r>
    </w:p>
    <w:p>
      <w:pPr/>
      <w:r>
        <w:rPr>
          <w:lang w:val="es_ES" w:bidi="es_ES"/>
        </w:rPr>
      </w:r>
      <w:r>
        <w:rPr>
          <w:lang w:val="es_ES" w:bidi="es_ES"/>
        </w:rPr>
        <w:t>Esdras, según la tradición</w:t>
      </w:r>
    </w:p>
    <w:p>
      <w:pPr>
        <w:pStyle w:val="Heading3"/>
      </w:pPr>
      <w:r>
        <w:rPr>
          <w:lang w:val="es_ES" w:bidi="es_ES"/>
        </w:rPr>
        <w:t>Fecha</w:t>
      </w:r>
    </w:p>
    <w:p>
      <w:pPr/>
      <w:r>
        <w:rPr>
          <w:lang w:val="es_ES" w:bidi="es_ES"/>
        </w:rPr>
      </w:r>
      <w:r>
        <w:rPr>
          <w:lang w:val="es_ES" w:bidi="es_ES"/>
        </w:rPr>
        <w:t>Registra eventos que ocurrieron alrededor de 538–457 a.C.</w:t>
      </w:r>
    </w:p>
    <w:p>
      <w:pPr>
        <w:pStyle w:val="Heading3"/>
      </w:pPr>
      <w:r>
        <w:rPr>
          <w:lang w:val="es_ES" w:bidi="es_ES"/>
        </w:rPr>
        <w:t>Contexto</w:t>
      </w:r>
    </w:p>
    <w:p>
      <w:pPr/>
      <w:r>
        <w:rPr>
          <w:lang w:val="es_ES" w:bidi="es_ES"/>
        </w:rPr>
      </w:r>
      <w:r>
        <w:rPr>
          <w:lang w:val="es_ES" w:bidi="es_ES"/>
        </w:rPr>
        <w:t>Jerusalén, comenzando con el regreso inicial de los judíos del exilio en Babilonia y terminando con la llegada de Esdras allí</w:t>
      </w:r>
      <w:r>
        <w:rPr>
          <w:lang w:val="es_ES" w:bidi="es_ES"/>
        </w:rPr>
      </w:r>
      <w:r>
        <w:rPr>
          <w:lang w:val="es_ES" w:bidi="es_E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 w:numId="14">
    <w:abstractNumId w:val="3"/>
    <w:lvlOverride w:ilvl="0">
      <w:startOverride w:val="1"/>
    </w:lvlOverride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_E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