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الثاني</w:t>
      </w:r>
      <w:r>
        <w:rPr>
          <w:lang w:val="ar_AE" w:bidi="ar_AE"/>
        </w:rPr>
      </w:r>
    </w:p>
    <w:p>
      <w:pPr>
        <w:bidi/>
      </w:pPr>
      <w:r>
        <w:rPr>
          <w:lang w:val="ar_AE" w:bidi="ar_AE"/>
        </w:rPr>
      </w:r>
      <w:r>
        <w:rPr>
          <w:lang w:val="ar_AE" w:bidi="ar_AE"/>
        </w:rPr>
        <w:t>سِفر الملوك الثاني</w:t>
      </w:r>
    </w:p>
    <w:p>
      <w:pPr>
        <w:pStyle w:val="Heading3"/>
        <w:bidi/>
      </w:pPr>
      <w:r>
        <w:rPr>
          <w:lang w:val="ar_AE" w:bidi="ar_AE"/>
        </w:rPr>
        <w:t>الهدف</w:t>
      </w:r>
    </w:p>
    <w:p>
      <w:pPr>
        <w:bidi/>
      </w:pPr>
      <w:r>
        <w:rPr>
          <w:lang w:val="ar_AE" w:bidi="ar_AE"/>
        </w:rPr>
      </w:r>
      <w:r>
        <w:rPr>
          <w:lang w:val="ar_AE" w:bidi="ar_AE"/>
        </w:rPr>
        <w:t>توضيح سبب وقوع كل من إسرائيل ويهوذا في السبي من أرض الميعاد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853–586 قبل الميلاد</w:t>
      </w:r>
    </w:p>
    <w:p>
      <w:pPr>
        <w:pStyle w:val="Heading3"/>
        <w:bidi/>
      </w:pPr>
      <w:r>
        <w:rPr>
          <w:lang w:val="ar_AE" w:bidi="ar_AE"/>
        </w:rPr>
        <w:t>السياق</w:t>
      </w:r>
    </w:p>
    <w:p>
      <w:pPr>
        <w:bidi/>
      </w:pPr>
      <w:r>
        <w:rPr>
          <w:lang w:val="ar_AE" w:bidi="ar_AE"/>
        </w:rPr>
      </w:r>
      <w:r>
        <w:rPr>
          <w:lang w:val="ar_AE" w:bidi="ar_AE"/>
        </w:rPr>
        <w:t>تستمر القصة من سِفر الملوك الأول للمملكة المنقسمة، وتنتهي بوقوع كلا المملكتين في السبي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