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w:t>
      </w:r>
    </w:p>
    <w:p>
      <w:pPr>
        <w:pStyle w:val="Heading3"/>
      </w:pPr>
      <w:r>
        <w:rPr>
          <w:lang w:val="en_US" w:bidi="en_US"/>
        </w:rPr>
        <w:t>Purpose</w:t>
      </w:r>
    </w:p>
    <w:p>
      <w:pPr/>
      <w:r>
        <w:rPr>
          <w:lang w:val="en_US" w:bidi="en_US"/>
        </w:rPr>
      </w:r>
      <w:r>
        <w:rPr>
          <w:lang w:val="en_US" w:bidi="en_US"/>
        </w:rPr>
        <w:t>To recount a story of the far-reaching scope of God’s sovereignty (power and authority to rule) and salvation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A time when Assyria’s influence in Israel had temporarily decreased, likely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