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Paul’s Letter to the Ephesians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scope of God’s grace</w:t>
      </w:r>
    </w:p>
    <w:p>
      <w:pPr>
        <w:pStyle w:val="ListNumber"/>
        <w:spacing w:line="240" w:lineRule="auto"/>
        <w:ind w:left="720"/>
      </w:pPr>
      <w:r>
        <w:rPr>
          <w:lang w:val="en_US" w:bidi="en_US"/>
        </w:rPr>
      </w:r>
      <w:r>
        <w:rPr>
          <w:lang w:val="en_US" w:bidi="en_US"/>
        </w:rPr>
        <w:t>To encourage unity among Jewish and gentile (or non-Jewish) believers,</w:t>
      </w:r>
    </w:p>
    <w:p>
      <w:pPr>
        <w:pStyle w:val="ListNumber"/>
        <w:spacing w:line="240" w:lineRule="auto"/>
        <w:ind w:left="720"/>
      </w:pPr>
      <w:r>
        <w:rPr>
          <w:lang w:val="en_US" w:bidi="en_US"/>
        </w:rPr>
      </w:r>
      <w:r>
        <w:rPr>
          <w:lang w:val="en_US" w:bidi="en_US"/>
        </w:rPr>
        <w:t>To demonstrate what new life in Christ looks like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probably either in Rome or Ephesus. By this time, the good news about Jesus had spread throughout Asia Minor. The believers in that region needed further instruction on what their new faith meant for their lives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