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w:t>
      </w:r>
    </w:p>
    <w:p>
      <w:pPr>
        <w:pStyle w:val="Heading3"/>
      </w:pPr>
      <w:r>
        <w:rPr>
          <w:lang w:val="hi_IN" w:bidi="hi_IN"/>
        </w:rPr>
        <w:t>उद्देश्य</w:t>
      </w:r>
    </w:p>
    <w:p>
      <w:pPr/>
      <w:r>
        <w:rPr>
          <w:lang w:val="hi_IN" w:bidi="hi_IN"/>
        </w:rPr>
      </w:r>
      <w:r>
        <w:rPr>
          <w:lang w:val="hi_IN" w:bidi="hi_IN"/>
        </w:rPr>
        <w:t>यीशु मसीह में सही विश्वास की दृढ़ता से पुष्टि करना, विश्वासियों को एक दूसरे के साथ परस्पर प्रेम करने के लिए उभारना, और अनन्त जीवन का आश्वासन देना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एक ऐसे समुदाय को लिखी गई जिसने हाल ही में एक विधर्मी दल के उभरने के कारण फूट का अनुभव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