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यूहन्ना की दूसरी पत्री</w:t>
      </w:r>
    </w:p>
    <w:p>
      <w:pPr>
        <w:pStyle w:val="Heading3"/>
      </w:pPr>
      <w:r>
        <w:rPr>
          <w:lang w:val="hi_IN" w:bidi="hi_IN"/>
        </w:rPr>
        <w:t>उद्देश्य</w:t>
      </w:r>
    </w:p>
    <w:p>
      <w:pPr/>
      <w:r>
        <w:rPr>
          <w:lang w:val="hi_IN" w:bidi="hi_IN"/>
        </w:rPr>
      </w:r>
      <w:r>
        <w:rPr>
          <w:lang w:val="hi_IN" w:bidi="hi_IN"/>
        </w:rPr>
        <w:t>झूठे शिक्षकों के प्रति एक उचित प्रतिक्रिया की रूपरेखा देना और विश्वासियों को एक दूसरे के साथ परस्पर प्रेम करने के लिए प्रोत्साहित 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विश्वासियों के एक समुदाय को लिखी गई—संभवतः आसिया माइनर में—जो या तो पहले ही झूठे शिक्षकों का सामना कर चुके थे या फिर शीघ्र ही ऐसा करने वाले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