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यूहन्ना की तीसरी पत्री</w:t>
      </w:r>
    </w:p>
    <w:p>
      <w:pPr>
        <w:pStyle w:val="Heading3"/>
      </w:pPr>
      <w:r>
        <w:rPr>
          <w:lang w:val="hi_IN" w:bidi="hi_IN"/>
        </w:rPr>
        <w:t>उद्देश्य</w:t>
      </w:r>
    </w:p>
    <w:p>
      <w:pPr/>
      <w:r>
        <w:rPr>
          <w:lang w:val="hi_IN" w:bidi="hi_IN"/>
        </w:rPr>
      </w:r>
      <w:r>
        <w:rPr>
          <w:lang w:val="hi_IN" w:bidi="hi_IN"/>
        </w:rPr>
        <w:t>गयुस के द्वारा प्रेरितों के दूतों का सत्कार करने के लिए सराहना करना और दियुत्रिफेस को फटकारना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गयुस नामक एक व्यक्ति को उसके अतिथि-सत्कार के प्रत्युत्तर में और दियुत्रिफेस नामक व्यक्ति को ऐसा न करने के कारण लिखी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