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w:t>
      </w:r>
      <w:r>
        <w:rPr>
          <w:lang w:val="id_ID" w:bidi="id_ID"/>
        </w:rPr>
      </w:r>
    </w:p>
    <w:p>
      <w:pPr/>
      <w:r>
        <w:rPr>
          <w:lang w:val="id_ID" w:bidi="id_ID"/>
        </w:rPr>
      </w:r>
      <w:r>
        <w:rPr>
          <w:lang w:val="id_ID" w:bidi="id_ID"/>
        </w:rPr>
        <w:t>Surat Yohanes yang Kedua</w:t>
      </w:r>
    </w:p>
    <w:p>
      <w:pPr>
        <w:pStyle w:val="Heading3"/>
      </w:pPr>
      <w:r>
        <w:rPr>
          <w:lang w:val="id_ID" w:bidi="id_ID"/>
        </w:rPr>
        <w:t>Tujuan</w:t>
      </w:r>
    </w:p>
    <w:p>
      <w:pPr/>
      <w:r>
        <w:rPr>
          <w:lang w:val="id_ID" w:bidi="id_ID"/>
        </w:rPr>
      </w:r>
      <w:r>
        <w:rPr>
          <w:lang w:val="id_ID" w:bidi="id_ID"/>
        </w:rPr>
        <w:t>Menjabarkan respons yang tepat terhadap guru-guru palsu dan mendorong orang-orang percaya untuk saling mengasihi</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sebuah komunitas orang percaya—kemungkinan di Asia Kecil—yang telah menghadapi guru-guru palsu atau kemungkinan akan segera menghadapinya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